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ind/>
        <w:jc w:val="both"/>
        <w:rPr>
          <w:color w:val="000000"/>
          <w:spacing w:val="-6"/>
          <w:sz w:val="24"/>
        </w:rPr>
      </w:pPr>
    </w:p>
    <w:p w14:paraId="02000000">
      <w:pPr>
        <w:ind/>
        <w:jc w:val="right"/>
        <w:rPr>
          <w:sz w:val="24"/>
        </w:rPr>
      </w:pPr>
      <w:r>
        <w:rPr>
          <w:sz w:val="24"/>
        </w:rPr>
        <w:t>Приложение 1</w:t>
      </w:r>
    </w:p>
    <w:p w14:paraId="03000000">
      <w:pPr>
        <w:ind/>
        <w:jc w:val="right"/>
        <w:rPr>
          <w:sz w:val="24"/>
        </w:rPr>
      </w:pPr>
      <w:r>
        <w:rPr>
          <w:sz w:val="24"/>
        </w:rPr>
        <w:t xml:space="preserve">к правилам благоустройства территории </w:t>
      </w:r>
    </w:p>
    <w:p w14:paraId="04000000">
      <w:pPr>
        <w:ind/>
        <w:jc w:val="right"/>
        <w:rPr>
          <w:sz w:val="24"/>
        </w:rPr>
      </w:pPr>
      <w:r>
        <w:rPr>
          <w:sz w:val="24"/>
        </w:rPr>
        <w:t>Большедворского</w:t>
      </w:r>
      <w:r>
        <w:rPr>
          <w:sz w:val="24"/>
        </w:rPr>
        <w:t xml:space="preserve"> сельского поселения</w:t>
      </w:r>
    </w:p>
    <w:p w14:paraId="05000000">
      <w:pPr>
        <w:ind/>
        <w:jc w:val="center"/>
        <w:rPr>
          <w:sz w:val="24"/>
        </w:rPr>
      </w:pPr>
    </w:p>
    <w:p w14:paraId="06000000">
      <w:pPr>
        <w:ind/>
        <w:jc w:val="center"/>
        <w:rPr>
          <w:sz w:val="24"/>
        </w:rPr>
      </w:pPr>
    </w:p>
    <w:p w14:paraId="07000000">
      <w:pPr>
        <w:ind/>
        <w:jc w:val="center"/>
        <w:rPr>
          <w:sz w:val="24"/>
        </w:rPr>
      </w:pPr>
    </w:p>
    <w:p w14:paraId="08000000">
      <w:pPr>
        <w:ind/>
        <w:jc w:val="center"/>
        <w:rPr>
          <w:sz w:val="24"/>
        </w:rPr>
      </w:pPr>
    </w:p>
    <w:p w14:paraId="09000000">
      <w:pPr>
        <w:ind/>
        <w:jc w:val="center"/>
        <w:rPr>
          <w:sz w:val="24"/>
        </w:rPr>
      </w:pPr>
    </w:p>
    <w:p w14:paraId="0A000000">
      <w:pPr>
        <w:ind/>
        <w:jc w:val="center"/>
        <w:rPr>
          <w:sz w:val="24"/>
        </w:rPr>
      </w:pPr>
    </w:p>
    <w:p w14:paraId="0B000000">
      <w:pPr>
        <w:ind/>
        <w:jc w:val="center"/>
        <w:rPr>
          <w:sz w:val="24"/>
        </w:rPr>
      </w:pPr>
    </w:p>
    <w:p w14:paraId="0C000000">
      <w:pPr>
        <w:ind/>
        <w:jc w:val="center"/>
        <w:rPr>
          <w:sz w:val="24"/>
        </w:rPr>
      </w:pPr>
    </w:p>
    <w:p w14:paraId="0D000000">
      <w:pPr>
        <w:ind/>
        <w:jc w:val="center"/>
        <w:rPr>
          <w:sz w:val="24"/>
        </w:rPr>
      </w:pPr>
    </w:p>
    <w:p w14:paraId="0E000000">
      <w:pPr>
        <w:ind/>
        <w:jc w:val="center"/>
        <w:rPr>
          <w:sz w:val="24"/>
        </w:rPr>
      </w:pPr>
    </w:p>
    <w:p w14:paraId="0F000000">
      <w:pPr>
        <w:ind/>
        <w:jc w:val="center"/>
        <w:rPr>
          <w:sz w:val="24"/>
        </w:rPr>
      </w:pPr>
    </w:p>
    <w:p w14:paraId="10000000">
      <w:pPr>
        <w:ind/>
        <w:jc w:val="center"/>
        <w:rPr>
          <w:sz w:val="24"/>
        </w:rPr>
      </w:pPr>
    </w:p>
    <w:p w14:paraId="11000000">
      <w:pPr>
        <w:ind/>
        <w:jc w:val="center"/>
        <w:rPr>
          <w:sz w:val="24"/>
        </w:rPr>
      </w:pPr>
    </w:p>
    <w:p w14:paraId="12000000">
      <w:pPr>
        <w:ind/>
        <w:jc w:val="center"/>
        <w:rPr>
          <w:sz w:val="24"/>
        </w:rPr>
      </w:pPr>
    </w:p>
    <w:p w14:paraId="13000000">
      <w:pPr>
        <w:ind/>
        <w:jc w:val="center"/>
        <w:rPr>
          <w:sz w:val="24"/>
        </w:rPr>
      </w:pPr>
      <w:r>
        <w:rPr>
          <w:sz w:val="24"/>
        </w:rPr>
        <w:t xml:space="preserve">ДИЗАЙН-КОД </w:t>
      </w:r>
    </w:p>
    <w:p w14:paraId="14000000">
      <w:pPr>
        <w:ind/>
        <w:jc w:val="center"/>
        <w:rPr>
          <w:sz w:val="24"/>
        </w:rPr>
      </w:pPr>
    </w:p>
    <w:p w14:paraId="15000000">
      <w:pPr>
        <w:ind/>
        <w:jc w:val="center"/>
        <w:rPr>
          <w:sz w:val="24"/>
        </w:rPr>
      </w:pPr>
      <w:r>
        <w:rPr>
          <w:sz w:val="24"/>
        </w:rPr>
        <w:t xml:space="preserve"> Большедворского</w:t>
      </w:r>
      <w:r>
        <w:rPr>
          <w:sz w:val="24"/>
        </w:rPr>
        <w:t xml:space="preserve"> сельского поселения</w:t>
      </w:r>
    </w:p>
    <w:p w14:paraId="16000000">
      <w:pPr>
        <w:ind/>
        <w:jc w:val="center"/>
        <w:rPr>
          <w:sz w:val="24"/>
        </w:rPr>
      </w:pPr>
      <w:r>
        <w:rPr>
          <w:sz w:val="24"/>
        </w:rPr>
        <w:t>Бокситогорского муниципального района</w:t>
      </w:r>
    </w:p>
    <w:p w14:paraId="17000000">
      <w:pPr>
        <w:ind/>
        <w:jc w:val="center"/>
        <w:rPr>
          <w:sz w:val="24"/>
        </w:rPr>
      </w:pPr>
      <w:r>
        <w:rPr>
          <w:sz w:val="24"/>
        </w:rPr>
        <w:t>Ленинградской области</w:t>
      </w:r>
    </w:p>
    <w:p w14:paraId="18000000">
      <w:pPr>
        <w:rPr>
          <w:sz w:val="24"/>
        </w:rPr>
      </w:pPr>
    </w:p>
    <w:p w14:paraId="19000000">
      <w:pPr>
        <w:ind/>
        <w:jc w:val="center"/>
        <w:rPr>
          <w:sz w:val="24"/>
        </w:rPr>
      </w:pPr>
      <w:r>
        <w:rPr>
          <w:sz w:val="24"/>
        </w:rPr>
        <w:br w:type="page"/>
      </w:r>
    </w:p>
    <w:p w14:paraId="1A000000">
      <w:pPr>
        <w:ind w:firstLine="0" w:left="400"/>
        <w:rPr>
          <w:sz w:val="24"/>
        </w:rPr>
      </w:pPr>
      <w:r>
        <w:rPr>
          <w:sz w:val="24"/>
        </w:rPr>
        <w:t>Содержание</w:t>
      </w:r>
    </w:p>
    <w:p w14:paraId="1B000000">
      <w:pPr>
        <w:ind w:firstLine="0" w:left="400"/>
        <w:rPr>
          <w:sz w:val="24"/>
        </w:rPr>
      </w:pPr>
    </w:p>
    <w:p w14:paraId="1C000000">
      <w:pPr>
        <w:ind w:firstLine="0" w:left="400"/>
        <w:rPr>
          <w:sz w:val="24"/>
        </w:rPr>
      </w:pPr>
      <w:r>
        <w:rPr>
          <w:sz w:val="24"/>
        </w:rPr>
        <w:t>Стандарты</w:t>
      </w:r>
    </w:p>
    <w:p w14:paraId="1D000000">
      <w:pPr>
        <w:ind w:firstLine="0" w:left="400"/>
        <w:rPr>
          <w:sz w:val="24"/>
        </w:rPr>
      </w:pPr>
    </w:p>
    <w:p w14:paraId="1E000000">
      <w:pPr>
        <w:widowControl w:val="1"/>
        <w:numPr>
          <w:ilvl w:val="0"/>
          <w:numId w:val="1"/>
        </w:numPr>
        <w:ind w:firstLine="0" w:left="400"/>
        <w:rPr>
          <w:b w:val="1"/>
          <w:color w:val="000000"/>
          <w:sz w:val="24"/>
        </w:rPr>
      </w:pPr>
      <w:r>
        <w:rPr>
          <w:b w:val="1"/>
          <w:color w:val="000000"/>
          <w:sz w:val="24"/>
        </w:rPr>
        <w:t>Стандарт оформления и размещения информационных конструкций на фасадах зданий и на прилегающих к ним территориях</w:t>
      </w:r>
    </w:p>
    <w:p w14:paraId="1F000000">
      <w:pPr>
        <w:ind w:firstLine="0" w:left="400"/>
        <w:rPr>
          <w:sz w:val="24"/>
        </w:rPr>
      </w:pPr>
      <w:r>
        <w:rPr>
          <w:sz w:val="24"/>
        </w:rPr>
        <w:t xml:space="preserve">1. Общие положения </w:t>
      </w:r>
    </w:p>
    <w:p w14:paraId="20000000">
      <w:pPr>
        <w:ind w:firstLine="0" w:left="400"/>
        <w:rPr>
          <w:sz w:val="24"/>
        </w:rPr>
      </w:pPr>
      <w:r>
        <w:rPr>
          <w:sz w:val="24"/>
        </w:rPr>
        <w:t xml:space="preserve">2. Требования к информационным конструкциям </w:t>
      </w:r>
    </w:p>
    <w:p w14:paraId="21000000">
      <w:pPr>
        <w:ind w:firstLine="0" w:left="400"/>
        <w:rPr>
          <w:sz w:val="24"/>
        </w:rPr>
      </w:pPr>
      <w:r>
        <w:rPr>
          <w:sz w:val="24"/>
        </w:rPr>
        <w:t xml:space="preserve">3. Требования к размещению информационных конструкций </w:t>
      </w:r>
    </w:p>
    <w:p w14:paraId="22000000">
      <w:pPr>
        <w:ind w:firstLine="0" w:left="400"/>
        <w:rPr>
          <w:b w:val="1"/>
          <w:sz w:val="24"/>
        </w:rPr>
      </w:pPr>
      <w:r>
        <w:rPr>
          <w:b w:val="1"/>
          <w:sz w:val="24"/>
        </w:rPr>
        <w:t>2. Стандарт оформления элементов фасадов зданий</w:t>
      </w:r>
    </w:p>
    <w:p w14:paraId="23000000">
      <w:pPr>
        <w:ind w:firstLine="0" w:left="400"/>
        <w:rPr>
          <w:sz w:val="24"/>
        </w:rPr>
      </w:pPr>
      <w:r>
        <w:rPr>
          <w:sz w:val="24"/>
        </w:rPr>
        <w:t xml:space="preserve">1. Основные принципы </w:t>
      </w:r>
    </w:p>
    <w:p w14:paraId="24000000">
      <w:pPr>
        <w:ind w:firstLine="0" w:left="400"/>
        <w:rPr>
          <w:sz w:val="24"/>
        </w:rPr>
      </w:pPr>
      <w:r>
        <w:rPr>
          <w:sz w:val="24"/>
        </w:rPr>
        <w:t xml:space="preserve">2. Рекомендуемые колористические решения </w:t>
      </w:r>
    </w:p>
    <w:p w14:paraId="25000000">
      <w:pPr>
        <w:ind w:firstLine="0" w:left="400"/>
        <w:rPr>
          <w:sz w:val="24"/>
        </w:rPr>
      </w:pPr>
      <w:r>
        <w:rPr>
          <w:sz w:val="24"/>
        </w:rPr>
        <w:t xml:space="preserve">3. Примеры недопустимого применения стандарта оформления и размещения информационных конструкций </w:t>
      </w:r>
    </w:p>
    <w:p w14:paraId="26000000">
      <w:pPr>
        <w:ind w:firstLine="0" w:left="400"/>
        <w:rPr>
          <w:sz w:val="24"/>
        </w:rPr>
      </w:pPr>
      <w:r>
        <w:rPr>
          <w:sz w:val="24"/>
        </w:rPr>
        <w:t xml:space="preserve">4. Применение стандарта оформления элементов фасадов зданий </w:t>
      </w:r>
    </w:p>
    <w:p w14:paraId="27000000">
      <w:pPr>
        <w:ind w:firstLine="0" w:left="400"/>
        <w:rPr>
          <w:b w:val="1"/>
          <w:sz w:val="24"/>
        </w:rPr>
      </w:pPr>
      <w:r>
        <w:rPr>
          <w:b w:val="1"/>
          <w:sz w:val="24"/>
        </w:rPr>
        <w:t>3. Стандарт оформления навигационных элементов в городской среде</w:t>
      </w:r>
    </w:p>
    <w:p w14:paraId="28000000">
      <w:pPr>
        <w:ind w:firstLine="0" w:left="400"/>
        <w:rPr>
          <w:sz w:val="24"/>
        </w:rPr>
      </w:pPr>
      <w:r>
        <w:rPr>
          <w:sz w:val="24"/>
        </w:rPr>
        <w:t xml:space="preserve">1. Типовые домовые знаки и требования к их размещению </w:t>
      </w:r>
    </w:p>
    <w:p w14:paraId="29000000">
      <w:pPr>
        <w:ind w:firstLine="0" w:left="400"/>
        <w:rPr>
          <w:sz w:val="24"/>
        </w:rPr>
      </w:pPr>
      <w:r>
        <w:rPr>
          <w:sz w:val="24"/>
        </w:rPr>
        <w:t xml:space="preserve">2. Требования к отдельно стоящим информационным стелам, стендам, пилонам </w:t>
      </w:r>
    </w:p>
    <w:p w14:paraId="2A000000">
      <w:pPr>
        <w:ind w:firstLine="0" w:left="400"/>
        <w:rPr>
          <w:sz w:val="24"/>
        </w:rPr>
      </w:pPr>
      <w:r>
        <w:rPr>
          <w:sz w:val="24"/>
        </w:rPr>
        <w:t xml:space="preserve">3. Требования к навигационным указателям и стендам </w:t>
      </w:r>
    </w:p>
    <w:p w14:paraId="2B000000">
      <w:pPr>
        <w:rPr>
          <w:sz w:val="24"/>
        </w:rPr>
      </w:pPr>
      <w:r>
        <w:rPr>
          <w:sz w:val="24"/>
        </w:rPr>
        <w:br w:type="page"/>
      </w:r>
    </w:p>
    <w:p w14:paraId="2C000000">
      <w:pPr>
        <w:ind w:firstLine="0" w:left="400"/>
        <w:jc w:val="both"/>
        <w:rPr>
          <w:sz w:val="24"/>
        </w:rPr>
      </w:pPr>
      <w:r>
        <w:rPr>
          <w:sz w:val="24"/>
        </w:rPr>
        <w:t>Дизайн–код — это нормативный правовой акт, являющийся приложением к правилам благоустройства.</w:t>
      </w:r>
    </w:p>
    <w:p w14:paraId="2D000000">
      <w:pPr>
        <w:ind w:firstLine="0" w:left="400"/>
        <w:jc w:val="both"/>
        <w:rPr>
          <w:sz w:val="24"/>
        </w:rPr>
      </w:pPr>
      <w:r>
        <w:rPr>
          <w:sz w:val="24"/>
        </w:rPr>
        <w:t>В дизайн-коде собраны ключевые правила и рекомендации по оформлению и размещению информационных конструкций и элементов озеленения и городской среды.</w:t>
      </w:r>
    </w:p>
    <w:p w14:paraId="2E000000">
      <w:pPr>
        <w:ind w:firstLine="0" w:left="400"/>
        <w:jc w:val="both"/>
        <w:rPr>
          <w:sz w:val="24"/>
        </w:rPr>
      </w:pPr>
      <w:r>
        <w:rPr>
          <w:sz w:val="24"/>
        </w:rPr>
        <w:t>При создании дизайн-кода команда руководствовалась федеральным и региональным законодательством в области землепользования, градостроительства, присвоения адресов, законодательством об административных правонарушениях, требованиями к размещению нестационарных торговых объектов (далее — НТО) на территории Ленинградской области, местными нормативными актами и иными, влияющими и определяющими качественную городскую среду.</w:t>
      </w:r>
    </w:p>
    <w:p w14:paraId="2F000000">
      <w:pPr>
        <w:ind w:firstLine="0" w:left="400"/>
        <w:jc w:val="both"/>
        <w:rPr>
          <w:sz w:val="24"/>
        </w:rPr>
      </w:pPr>
      <w:r>
        <w:rPr>
          <w:sz w:val="24"/>
        </w:rPr>
        <w:t>Полный перечень правил, стандартов и рекомендаций, которые включает дизайн-код:</w:t>
      </w:r>
    </w:p>
    <w:p w14:paraId="30000000">
      <w:pPr>
        <w:ind w:firstLine="0" w:left="400"/>
        <w:jc w:val="both"/>
        <w:rPr>
          <w:sz w:val="24"/>
        </w:rPr>
      </w:pPr>
      <w:r>
        <w:rPr>
          <w:sz w:val="24"/>
        </w:rPr>
        <w:t>- Стандарт оформления и размещения информационных конструкций на фасадах зданий и прилегающих к ним территориях;</w:t>
      </w:r>
    </w:p>
    <w:p w14:paraId="31000000">
      <w:pPr>
        <w:ind w:firstLine="0" w:left="400"/>
        <w:jc w:val="both"/>
        <w:rPr>
          <w:sz w:val="24"/>
        </w:rPr>
      </w:pPr>
      <w:r>
        <w:rPr>
          <w:sz w:val="24"/>
        </w:rPr>
        <w:t>- Стандарт оформления элементов фасадов зданий;</w:t>
      </w:r>
    </w:p>
    <w:p w14:paraId="32000000">
      <w:pPr>
        <w:ind w:firstLine="0" w:left="400"/>
        <w:jc w:val="both"/>
        <w:rPr>
          <w:sz w:val="24"/>
        </w:rPr>
      </w:pPr>
      <w:r>
        <w:rPr>
          <w:sz w:val="24"/>
        </w:rPr>
        <w:t>- Стандарт оформления навигационных элементов в городской среде;</w:t>
      </w:r>
    </w:p>
    <w:p w14:paraId="33000000">
      <w:pPr>
        <w:ind w:firstLine="0" w:left="400"/>
        <w:jc w:val="both"/>
        <w:rPr>
          <w:sz w:val="24"/>
        </w:rPr>
      </w:pPr>
      <w:r>
        <w:rPr>
          <w:sz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34000000">
      <w:pPr>
        <w:ind w:firstLine="0" w:left="400"/>
        <w:jc w:val="both"/>
        <w:rPr>
          <w:sz w:val="24"/>
        </w:rPr>
      </w:pPr>
      <w:r>
        <w:rPr>
          <w:sz w:val="24"/>
        </w:rPr>
        <w:t>Дизайн-код адресован:</w:t>
      </w:r>
    </w:p>
    <w:p w14:paraId="35000000">
      <w:pPr>
        <w:ind w:firstLine="0" w:left="400"/>
        <w:jc w:val="both"/>
        <w:rPr>
          <w:sz w:val="24"/>
        </w:rPr>
      </w:pPr>
      <w:r>
        <w:rPr>
          <w:sz w:val="24"/>
        </w:rPr>
        <w:t>• Сотрудникам администрации: для проведения консультаций и согласований поступающих предложений и заявлений.</w:t>
      </w:r>
    </w:p>
    <w:p w14:paraId="36000000">
      <w:pPr>
        <w:ind w:firstLine="0" w:left="400"/>
        <w:jc w:val="both"/>
        <w:rPr>
          <w:sz w:val="24"/>
        </w:rPr>
      </w:pPr>
      <w:r>
        <w:rPr>
          <w:sz w:val="24"/>
        </w:rPr>
        <w:t>• Предпринимателям города: при выборе формата и места размещения вывесок, информационных конструкций для гармоничного встраивания в среду города.</w:t>
      </w:r>
    </w:p>
    <w:p w14:paraId="37000000">
      <w:pPr>
        <w:ind w:firstLine="0" w:left="400"/>
        <w:jc w:val="both"/>
        <w:rPr>
          <w:sz w:val="24"/>
        </w:rPr>
      </w:pPr>
      <w:r>
        <w:rPr>
          <w:sz w:val="24"/>
        </w:rPr>
        <w:t>• Управляющим компаниям: при планировании качественного и соответствующего индивидуальному облику города благоустройства и озеленения.</w:t>
      </w:r>
    </w:p>
    <w:p w14:paraId="38000000">
      <w:pPr>
        <w:ind w:firstLine="0" w:left="400"/>
        <w:jc w:val="both"/>
        <w:rPr>
          <w:sz w:val="24"/>
        </w:rPr>
      </w:pPr>
      <w:r>
        <w:rPr>
          <w:sz w:val="24"/>
        </w:rPr>
        <w:t>• Проектировщикам: для учета особенностей индивидуального облика города при проектировании.</w:t>
      </w:r>
    </w:p>
    <w:p w14:paraId="39000000">
      <w:pPr>
        <w:ind w:firstLine="0" w:left="400"/>
        <w:jc w:val="both"/>
        <w:rPr>
          <w:sz w:val="24"/>
        </w:rPr>
      </w:pPr>
      <w:r>
        <w:rPr>
          <w:sz w:val="24"/>
        </w:rPr>
        <w:t>• Жителям и активистам города: для диалога с представителями администрации и для составления гармоничных и целесообразных предложений развития среды.</w:t>
      </w:r>
    </w:p>
    <w:p w14:paraId="3A000000">
      <w:pPr>
        <w:ind w:firstLine="0" w:left="400"/>
        <w:jc w:val="both"/>
        <w:rPr>
          <w:sz w:val="24"/>
        </w:rPr>
      </w:pPr>
      <w:r>
        <w:rPr>
          <w:sz w:val="24"/>
        </w:rPr>
        <w:t>• Художникам, художникам-монументалистам: для создания объектов искусства в общественном пространстве с учетом единого и целостного дизайн-кода города.</w:t>
      </w:r>
      <w:r>
        <w:rPr>
          <w:sz w:val="24"/>
        </w:rPr>
        <w:br w:type="page"/>
      </w:r>
    </w:p>
    <w:p w14:paraId="3B000000">
      <w:pPr>
        <w:widowControl w:val="1"/>
        <w:numPr>
          <w:ilvl w:val="0"/>
          <w:numId w:val="2"/>
        </w:numPr>
        <w:ind w:firstLine="0" w:left="400"/>
        <w:jc w:val="both"/>
        <w:rPr>
          <w:b w:val="1"/>
          <w:color w:val="000000"/>
          <w:sz w:val="24"/>
        </w:rPr>
      </w:pPr>
      <w:r>
        <w:rPr>
          <w:b w:val="1"/>
          <w:color w:val="000000"/>
          <w:sz w:val="24"/>
        </w:rPr>
        <w:t>Стандарт оформления и размещения информационных конструкций на фасадах зданий и прилегающих к ним территориях.</w:t>
      </w:r>
    </w:p>
    <w:p w14:paraId="3C000000">
      <w:pPr>
        <w:ind w:firstLine="0" w:left="400"/>
        <w:jc w:val="both"/>
        <w:rPr>
          <w:color w:val="000000"/>
          <w:sz w:val="24"/>
        </w:rPr>
      </w:pPr>
      <w:r>
        <w:rPr>
          <w:color w:val="000000"/>
          <w:sz w:val="24"/>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14:paraId="3D000000">
      <w:pPr>
        <w:ind w:firstLine="0" w:left="400"/>
        <w:jc w:val="both"/>
        <w:rPr>
          <w:color w:val="000000"/>
          <w:sz w:val="24"/>
        </w:rPr>
      </w:pPr>
      <w:r>
        <w:rPr>
          <w:color w:val="000000"/>
          <w:sz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14:paraId="3E000000">
      <w:pPr>
        <w:ind w:firstLine="0" w:left="400"/>
        <w:jc w:val="both"/>
        <w:rPr>
          <w:color w:val="000000"/>
          <w:sz w:val="24"/>
        </w:rPr>
      </w:pPr>
      <w:r>
        <w:rPr>
          <w:color w:val="000000"/>
          <w:sz w:val="24"/>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3F000000">
      <w:pPr>
        <w:ind w:firstLine="0" w:left="400"/>
        <w:jc w:val="both"/>
        <w:rPr>
          <w:color w:val="000000"/>
          <w:sz w:val="24"/>
        </w:rPr>
      </w:pPr>
      <w:r>
        <w:rPr>
          <w:color w:val="000000"/>
          <w:sz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40000000">
      <w:pPr>
        <w:ind w:firstLine="0" w:left="400"/>
        <w:jc w:val="both"/>
        <w:rPr>
          <w:color w:val="000000"/>
          <w:sz w:val="24"/>
        </w:rPr>
      </w:pPr>
      <w:r>
        <w:rPr>
          <w:color w:val="000000"/>
          <w:sz w:val="24"/>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41000000">
      <w:pPr>
        <w:ind w:firstLine="0" w:left="400"/>
        <w:jc w:val="both"/>
        <w:rPr>
          <w:color w:val="000000"/>
          <w:sz w:val="24"/>
        </w:rPr>
      </w:pPr>
      <w:r>
        <w:rPr>
          <w:color w:val="000000"/>
          <w:sz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42000000">
      <w:pPr>
        <w:ind w:firstLine="0" w:left="400"/>
        <w:jc w:val="both"/>
        <w:rPr>
          <w:color w:val="000000"/>
          <w:sz w:val="24"/>
        </w:rPr>
      </w:pPr>
      <w:r>
        <w:rPr>
          <w:color w:val="000000"/>
          <w:sz w:val="24"/>
        </w:rPr>
        <w:t>1.7. В тексте Стандарта используются следующие термины:</w:t>
      </w:r>
    </w:p>
    <w:p w14:paraId="43000000">
      <w:pPr>
        <w:ind w:firstLine="0" w:left="400"/>
        <w:jc w:val="both"/>
        <w:rPr>
          <w:color w:val="000000"/>
          <w:sz w:val="24"/>
        </w:rPr>
      </w:pPr>
      <w:r>
        <w:rPr>
          <w:b w:val="1"/>
          <w:color w:val="000000"/>
          <w:sz w:val="24"/>
        </w:rPr>
        <w:t>Вывеска</w:t>
      </w:r>
      <w:r>
        <w:rPr>
          <w:color w:val="000000"/>
          <w:sz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4000000">
      <w:pPr>
        <w:ind w:firstLine="0" w:left="400"/>
        <w:jc w:val="both"/>
        <w:rPr>
          <w:color w:val="000000"/>
          <w:sz w:val="24"/>
        </w:rPr>
      </w:pPr>
      <w:r>
        <w:rPr>
          <w:b w:val="1"/>
          <w:color w:val="000000"/>
          <w:sz w:val="24"/>
        </w:rPr>
        <w:t>Фасад</w:t>
      </w:r>
      <w:r>
        <w:rPr>
          <w:color w:val="000000"/>
          <w:sz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45000000">
      <w:pPr>
        <w:ind w:firstLine="0" w:left="400"/>
        <w:jc w:val="both"/>
        <w:rPr>
          <w:color w:val="000000"/>
          <w:sz w:val="24"/>
        </w:rPr>
      </w:pPr>
      <w:r>
        <w:rPr>
          <w:b w:val="1"/>
          <w:color w:val="000000"/>
          <w:sz w:val="24"/>
        </w:rPr>
        <w:t>Фриз</w:t>
      </w:r>
      <w:r>
        <w:rPr>
          <w:color w:val="000000"/>
          <w:sz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46000000">
      <w:pPr>
        <w:ind w:firstLine="0" w:left="400"/>
        <w:jc w:val="both"/>
        <w:rPr>
          <w:color w:val="000000"/>
          <w:sz w:val="24"/>
        </w:rPr>
      </w:pPr>
      <w:r>
        <w:rPr>
          <w:b w:val="1"/>
          <w:color w:val="000000"/>
          <w:sz w:val="24"/>
        </w:rPr>
        <w:t>Козырек</w:t>
      </w:r>
      <w:r>
        <w:rPr>
          <w:color w:val="000000"/>
          <w:sz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47000000">
      <w:pPr>
        <w:ind w:firstLine="0" w:left="400"/>
        <w:jc w:val="both"/>
        <w:rPr>
          <w:b w:val="1"/>
          <w:color w:val="000000"/>
          <w:sz w:val="24"/>
        </w:rPr>
      </w:pPr>
      <w:r>
        <w:rPr>
          <w:b w:val="1"/>
          <w:color w:val="000000"/>
          <w:sz w:val="24"/>
        </w:rPr>
        <w:t>Типы информационных конструкций (вывесок):</w:t>
      </w:r>
    </w:p>
    <w:p w14:paraId="48000000">
      <w:pPr>
        <w:ind w:firstLine="0" w:left="400"/>
        <w:jc w:val="both"/>
        <w:rPr>
          <w:color w:val="000000"/>
          <w:sz w:val="24"/>
        </w:rPr>
      </w:pPr>
      <w:r>
        <w:rPr>
          <w:b w:val="1"/>
          <w:color w:val="000000"/>
          <w:sz w:val="24"/>
        </w:rPr>
        <w:t>Настенная вывеска</w:t>
      </w:r>
      <w:r>
        <w:rPr>
          <w:color w:val="000000"/>
          <w:sz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49000000">
      <w:pPr>
        <w:ind w:firstLine="0" w:left="400"/>
        <w:jc w:val="both"/>
        <w:rPr>
          <w:color w:val="000000"/>
          <w:sz w:val="24"/>
        </w:rPr>
      </w:pPr>
      <w:r>
        <w:rPr>
          <w:b w:val="1"/>
          <w:color w:val="000000"/>
          <w:sz w:val="24"/>
        </w:rPr>
        <w:t>Консольная вывеска</w:t>
      </w:r>
      <w:r>
        <w:rPr>
          <w:color w:val="000000"/>
          <w:sz w:val="24"/>
        </w:rPr>
        <w:t xml:space="preserve"> располагается перпендикулярно к поверхности фасада здания, строения, сооружения и (или) их конструктивных элементов;</w:t>
      </w:r>
    </w:p>
    <w:p w14:paraId="4A000000">
      <w:pPr>
        <w:ind w:firstLine="0" w:left="400"/>
        <w:jc w:val="both"/>
        <w:rPr>
          <w:color w:val="000000"/>
          <w:sz w:val="24"/>
        </w:rPr>
      </w:pPr>
      <w:r>
        <w:rPr>
          <w:b w:val="1"/>
          <w:color w:val="000000"/>
          <w:sz w:val="24"/>
        </w:rPr>
        <w:t>Витринная вывеска</w:t>
      </w:r>
      <w:r>
        <w:rPr>
          <w:color w:val="000000"/>
          <w:sz w:val="24"/>
        </w:rPr>
        <w:t xml:space="preserve"> расположена на внешней или с внутренней стороны остекления витрины здания, строения, сооружения;</w:t>
      </w:r>
    </w:p>
    <w:p w14:paraId="4B000000">
      <w:pPr>
        <w:ind w:firstLine="0" w:left="400"/>
        <w:jc w:val="both"/>
        <w:rPr>
          <w:color w:val="000000"/>
          <w:sz w:val="24"/>
        </w:rPr>
      </w:pPr>
      <w:r>
        <w:rPr>
          <w:b w:val="1"/>
          <w:color w:val="000000"/>
          <w:sz w:val="24"/>
        </w:rPr>
        <w:t>Крышная вывеска (или крышная установка)</w:t>
      </w:r>
      <w:r>
        <w:rPr>
          <w:color w:val="000000"/>
          <w:sz w:val="24"/>
        </w:rPr>
        <w:t xml:space="preserve"> размещается на крыше здания, строения, сооружения выше отметки парапета кровли.</w:t>
      </w:r>
    </w:p>
    <w:p w14:paraId="4C000000">
      <w:pPr>
        <w:ind w:firstLine="0" w:left="400"/>
        <w:jc w:val="both"/>
        <w:rPr>
          <w:color w:val="000000"/>
          <w:sz w:val="24"/>
        </w:rPr>
      </w:pPr>
      <w:r>
        <w:rPr>
          <w:color w:val="000000"/>
          <w:sz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4D000000">
      <w:pPr>
        <w:ind w:firstLine="0" w:left="400"/>
        <w:jc w:val="both"/>
        <w:rPr>
          <w:color w:val="000000"/>
          <w:sz w:val="24"/>
        </w:rPr>
      </w:pPr>
      <w:r>
        <w:rPr>
          <w:b w:val="1"/>
          <w:color w:val="000000"/>
          <w:sz w:val="24"/>
        </w:rPr>
        <w:t>Информационная стела</w:t>
      </w:r>
      <w:r>
        <w:rPr>
          <w:color w:val="000000"/>
          <w:sz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4E000000">
      <w:pPr>
        <w:ind w:firstLine="0" w:left="400"/>
        <w:jc w:val="both"/>
        <w:rPr>
          <w:color w:val="000000"/>
          <w:sz w:val="24"/>
        </w:rPr>
      </w:pPr>
      <w:r>
        <w:rPr>
          <w:color w:val="000000"/>
          <w:sz w:val="24"/>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4F000000">
      <w:pPr>
        <w:ind w:firstLine="0" w:left="400"/>
        <w:jc w:val="both"/>
        <w:rPr>
          <w:color w:val="000000"/>
          <w:sz w:val="24"/>
        </w:rPr>
      </w:pPr>
      <w:r>
        <w:rPr>
          <w:b w:val="1"/>
          <w:color w:val="000000"/>
          <w:sz w:val="24"/>
        </w:rPr>
        <w:t>Навигационный стенд</w:t>
      </w:r>
      <w:r>
        <w:rPr>
          <w:color w:val="000000"/>
          <w:sz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14:paraId="50000000">
      <w:pPr>
        <w:ind w:firstLine="0" w:left="400"/>
        <w:jc w:val="both"/>
        <w:rPr>
          <w:color w:val="000000"/>
          <w:sz w:val="24"/>
        </w:rPr>
      </w:pPr>
      <w:r>
        <w:rPr>
          <w:b w:val="1"/>
          <w:color w:val="000000"/>
          <w:sz w:val="24"/>
        </w:rPr>
        <w:t>Настенное панно (мурал)</w:t>
      </w:r>
      <w:r>
        <w:rPr>
          <w:color w:val="000000"/>
          <w:sz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51000000">
      <w:pPr>
        <w:ind w:firstLine="0" w:left="400"/>
        <w:jc w:val="both"/>
        <w:rPr>
          <w:color w:val="000000"/>
          <w:sz w:val="24"/>
        </w:rPr>
      </w:pPr>
      <w:r>
        <w:rPr>
          <w:b w:val="1"/>
          <w:color w:val="000000"/>
          <w:sz w:val="24"/>
        </w:rPr>
        <w:t>Витрина</w:t>
      </w:r>
      <w:r>
        <w:rPr>
          <w:color w:val="000000"/>
          <w:sz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52000000">
      <w:pPr>
        <w:ind w:firstLine="0" w:left="400"/>
        <w:jc w:val="both"/>
        <w:rPr>
          <w:b w:val="1"/>
          <w:color w:val="000000"/>
          <w:sz w:val="24"/>
        </w:rPr>
      </w:pPr>
      <w:r>
        <w:rPr>
          <w:sz w:val="24"/>
        </w:rPr>
        <w:br w:type="page"/>
      </w:r>
    </w:p>
    <w:p w14:paraId="53000000">
      <w:pPr>
        <w:widowControl w:val="1"/>
        <w:numPr>
          <w:ilvl w:val="0"/>
          <w:numId w:val="2"/>
        </w:numPr>
        <w:ind w:firstLine="0" w:left="400"/>
        <w:jc w:val="both"/>
        <w:rPr>
          <w:b w:val="1"/>
          <w:color w:val="000000"/>
          <w:sz w:val="24"/>
        </w:rPr>
      </w:pPr>
      <w:r>
        <w:rPr>
          <w:b w:val="1"/>
          <w:color w:val="000000"/>
          <w:sz w:val="24"/>
        </w:rPr>
        <w:t>Требования к информационным конструкциям.</w:t>
      </w:r>
    </w:p>
    <w:p w14:paraId="54000000">
      <w:pPr>
        <w:widowControl w:val="1"/>
        <w:numPr>
          <w:ilvl w:val="1"/>
          <w:numId w:val="2"/>
        </w:numPr>
        <w:ind w:firstLine="0" w:left="400"/>
        <w:jc w:val="both"/>
        <w:rPr>
          <w:color w:val="000000"/>
          <w:sz w:val="24"/>
        </w:rPr>
      </w:pPr>
      <w:r>
        <w:rPr>
          <w:color w:val="000000"/>
          <w:sz w:val="24"/>
        </w:rPr>
        <w:t>Информационные конструкции не должны (рис. 1):</w:t>
      </w:r>
    </w:p>
    <w:p w14:paraId="55000000">
      <w:pPr>
        <w:ind w:firstLine="0" w:left="400"/>
        <w:jc w:val="both"/>
        <w:rPr>
          <w:sz w:val="24"/>
        </w:rPr>
      </w:pPr>
    </w:p>
    <w:p w14:paraId="56000000">
      <w:pPr>
        <w:ind w:firstLine="0" w:left="400"/>
        <w:rPr>
          <w:color w:val="000000"/>
          <w:sz w:val="24"/>
        </w:rPr>
      </w:pPr>
      <w:r>
        <w:rPr>
          <w:color w:val="000000"/>
          <w:sz w:val="24"/>
        </w:rPr>
        <w:drawing>
          <wp:inline>
            <wp:extent cx="4846320" cy="2110613"/>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846320" cy="2110613"/>
                    </a:xfrm>
                    <a:prstGeom prst="rect"/>
                  </pic:spPr>
                </pic:pic>
              </a:graphicData>
            </a:graphic>
          </wp:inline>
        </w:drawing>
      </w:r>
    </w:p>
    <w:p w14:paraId="57000000">
      <w:pPr>
        <w:ind w:firstLine="0" w:left="400"/>
        <w:jc w:val="center"/>
        <w:rPr>
          <w:color w:val="000000"/>
          <w:sz w:val="24"/>
        </w:rPr>
      </w:pPr>
      <w:r>
        <w:rPr>
          <w:color w:val="000000"/>
          <w:sz w:val="24"/>
        </w:rPr>
        <w:t>Рис. 1</w:t>
      </w:r>
    </w:p>
    <w:p w14:paraId="58000000">
      <w:pPr>
        <w:ind w:firstLine="0" w:left="400"/>
        <w:jc w:val="both"/>
        <w:rPr>
          <w:color w:val="000000"/>
          <w:sz w:val="24"/>
        </w:rPr>
      </w:pPr>
    </w:p>
    <w:p w14:paraId="59000000">
      <w:pPr>
        <w:ind w:firstLine="0" w:left="400"/>
        <w:jc w:val="both"/>
        <w:rPr>
          <w:color w:val="000000"/>
          <w:sz w:val="24"/>
        </w:rPr>
      </w:pPr>
      <w:r>
        <w:rPr>
          <w:color w:val="000000"/>
          <w:sz w:val="24"/>
        </w:rPr>
        <w:t>2.1.1. препятствовать восприятию информации, размещенной на другой конструкции;</w:t>
      </w:r>
    </w:p>
    <w:p w14:paraId="5A000000">
      <w:pPr>
        <w:ind w:firstLine="0" w:left="400"/>
        <w:jc w:val="both"/>
        <w:rPr>
          <w:color w:val="000000"/>
          <w:sz w:val="24"/>
        </w:rPr>
      </w:pPr>
      <w:r>
        <w:rPr>
          <w:color w:val="000000"/>
          <w:sz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5B000000">
      <w:pPr>
        <w:ind w:firstLine="0" w:left="400"/>
        <w:jc w:val="both"/>
        <w:rPr>
          <w:color w:val="000000"/>
          <w:sz w:val="24"/>
        </w:rPr>
      </w:pPr>
      <w:r>
        <w:rPr>
          <w:color w:val="000000"/>
          <w:sz w:val="24"/>
        </w:rPr>
        <w:t>2.1.3. размещаться на фасаде здания на расстоянии менее 2 м от мемориальных досок;</w:t>
      </w:r>
    </w:p>
    <w:p w14:paraId="5C000000">
      <w:pPr>
        <w:ind w:firstLine="0" w:left="400"/>
        <w:jc w:val="both"/>
        <w:rPr>
          <w:color w:val="000000"/>
          <w:sz w:val="24"/>
        </w:rPr>
      </w:pPr>
      <w:r>
        <w:rPr>
          <w:color w:val="000000"/>
          <w:sz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5D000000">
      <w:pPr>
        <w:ind w:firstLine="0" w:left="400"/>
        <w:jc w:val="both"/>
        <w:rPr>
          <w:color w:val="000000"/>
          <w:sz w:val="24"/>
        </w:rPr>
      </w:pPr>
      <w:r>
        <w:rPr>
          <w:color w:val="000000"/>
          <w:sz w:val="24"/>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5E000000">
      <w:pPr>
        <w:ind w:firstLine="0" w:left="400"/>
        <w:jc w:val="both"/>
        <w:rPr>
          <w:color w:val="000000"/>
          <w:sz w:val="24"/>
        </w:rPr>
      </w:pPr>
      <w:r>
        <w:rPr>
          <w:color w:val="000000"/>
          <w:sz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5F000000">
      <w:pPr>
        <w:ind w:firstLine="0" w:left="400"/>
        <w:jc w:val="both"/>
        <w:rPr>
          <w:color w:val="000000"/>
          <w:sz w:val="24"/>
        </w:rPr>
      </w:pPr>
      <w:r>
        <w:rPr>
          <w:color w:val="000000"/>
          <w:sz w:val="24"/>
        </w:rPr>
        <w:t>2.1.7. размещаться на витражах здания, строения, сооружения;</w:t>
      </w:r>
    </w:p>
    <w:p w14:paraId="60000000">
      <w:pPr>
        <w:ind w:firstLine="0" w:left="400"/>
        <w:jc w:val="both"/>
        <w:rPr>
          <w:color w:val="000000"/>
          <w:sz w:val="24"/>
        </w:rPr>
      </w:pPr>
      <w:r>
        <w:rPr>
          <w:color w:val="000000"/>
          <w:sz w:val="24"/>
        </w:rPr>
        <w:t>2.1.8.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61000000">
      <w:pPr>
        <w:ind w:firstLine="0" w:left="400"/>
        <w:jc w:val="both"/>
        <w:rPr>
          <w:i w:val="1"/>
          <w:color w:val="FF0000"/>
          <w:sz w:val="24"/>
        </w:rPr>
      </w:pPr>
      <w:r>
        <w:rPr>
          <w:color w:val="000000"/>
          <w:sz w:val="24"/>
        </w:rPr>
        <w:t>2.1.9. размещаться на крыше здания, строения, сооружения в количестве более одной информационной конструкции;</w:t>
      </w:r>
    </w:p>
    <w:p w14:paraId="62000000">
      <w:pPr>
        <w:ind w:firstLine="0" w:left="400"/>
        <w:jc w:val="both"/>
        <w:rPr>
          <w:color w:val="000000"/>
          <w:sz w:val="24"/>
        </w:rPr>
      </w:pPr>
      <w:r>
        <w:rPr>
          <w:color w:val="000000"/>
          <w:sz w:val="24"/>
        </w:rPr>
        <w:t>2.1.10. размещаться в виде бегущей строки, видеоэкранов, медиафасадов, светодиодных экранов,проекционных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63000000">
      <w:pPr>
        <w:ind w:firstLine="0" w:left="400"/>
        <w:jc w:val="both"/>
        <w:rPr>
          <w:color w:val="000000"/>
          <w:sz w:val="24"/>
        </w:rPr>
      </w:pPr>
      <w:r>
        <w:rPr>
          <w:color w:val="000000"/>
          <w:sz w:val="24"/>
        </w:rPr>
        <w:t>2.1.11. перекрывать дорожные знаки, знаки адресной системы;</w:t>
      </w:r>
    </w:p>
    <w:p w14:paraId="64000000">
      <w:pPr>
        <w:ind w:firstLine="0" w:left="400"/>
        <w:jc w:val="both"/>
        <w:rPr>
          <w:color w:val="000000"/>
          <w:sz w:val="24"/>
        </w:rPr>
      </w:pPr>
      <w:r>
        <w:rPr>
          <w:color w:val="000000"/>
          <w:sz w:val="24"/>
        </w:rPr>
        <w:t>2.1.12. способствовать скапливанию снега, замачиванию фасадов или оказывать иное негативное воздействие на здание, строение, сооружение;</w:t>
      </w:r>
    </w:p>
    <w:p w14:paraId="65000000">
      <w:pPr>
        <w:ind w:firstLine="0" w:left="400"/>
        <w:jc w:val="both"/>
        <w:rPr>
          <w:color w:val="000000"/>
          <w:sz w:val="24"/>
        </w:rPr>
      </w:pPr>
      <w:r>
        <w:rPr>
          <w:color w:val="000000"/>
          <w:sz w:val="24"/>
        </w:rPr>
        <w:t>2.1.13.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66000000">
      <w:pPr>
        <w:ind w:firstLine="0" w:left="400"/>
        <w:jc w:val="both"/>
        <w:rPr>
          <w:color w:val="000000"/>
          <w:sz w:val="24"/>
        </w:rPr>
      </w:pPr>
      <w:r>
        <w:rPr>
          <w:color w:val="000000"/>
          <w:sz w:val="24"/>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67000000">
      <w:pPr>
        <w:ind w:firstLine="0" w:left="400"/>
        <w:jc w:val="both"/>
        <w:rPr>
          <w:color w:val="000000"/>
          <w:sz w:val="24"/>
        </w:rPr>
      </w:pPr>
      <w:r>
        <w:rPr>
          <w:color w:val="000000"/>
          <w:sz w:val="24"/>
        </w:rPr>
        <w:t>2.3. Металлические элементы информационной конструкции должны быть своевременно очищаться и окрашиваться.</w:t>
      </w:r>
    </w:p>
    <w:p w14:paraId="68000000">
      <w:pPr>
        <w:ind w:firstLine="0" w:left="400"/>
        <w:jc w:val="both"/>
        <w:rPr>
          <w:color w:val="000000"/>
          <w:sz w:val="24"/>
        </w:rPr>
      </w:pPr>
      <w:r>
        <w:rPr>
          <w:color w:val="000000"/>
          <w:sz w:val="24"/>
        </w:rPr>
        <w:t>2.4. Размещение на информационных конструкциях, витринах объявлений, посторонних надписей и изображений запрещено.</w:t>
      </w:r>
    </w:p>
    <w:p w14:paraId="69000000">
      <w:pPr>
        <w:ind w:firstLine="0" w:left="400"/>
        <w:jc w:val="both"/>
        <w:rPr>
          <w:color w:val="000000"/>
          <w:sz w:val="24"/>
        </w:rPr>
      </w:pPr>
      <w:r>
        <w:rPr>
          <w:color w:val="000000"/>
          <w:sz w:val="24"/>
        </w:rPr>
        <w:t>2.5. Подсветка информационных конструкций, размещаемых на зданиях, строениях, сооружениях, должна:</w:t>
      </w:r>
    </w:p>
    <w:p w14:paraId="6A000000">
      <w:pPr>
        <w:ind w:firstLine="0" w:left="400"/>
        <w:jc w:val="both"/>
        <w:rPr>
          <w:color w:val="000000"/>
          <w:sz w:val="24"/>
        </w:rPr>
      </w:pPr>
      <w:r>
        <w:rPr>
          <w:color w:val="000000"/>
          <w:sz w:val="24"/>
        </w:rPr>
        <w:t>- устанавливаться для всех типов информационных конструкций;</w:t>
      </w:r>
    </w:p>
    <w:p w14:paraId="6B000000">
      <w:pPr>
        <w:ind w:firstLine="0" w:left="400"/>
        <w:jc w:val="both"/>
        <w:rPr>
          <w:color w:val="000000"/>
          <w:sz w:val="24"/>
        </w:rPr>
      </w:pPr>
      <w:r>
        <w:rPr>
          <w:color w:val="000000"/>
          <w:sz w:val="24"/>
        </w:rPr>
        <w:t>- организовываться без использования светодинамических и мерцающих эффектов;</w:t>
      </w:r>
    </w:p>
    <w:p w14:paraId="6C000000">
      <w:pPr>
        <w:ind w:firstLine="0" w:left="400"/>
        <w:jc w:val="both"/>
        <w:rPr>
          <w:color w:val="000000"/>
          <w:sz w:val="24"/>
        </w:rPr>
      </w:pPr>
      <w:r>
        <w:rPr>
          <w:color w:val="000000"/>
          <w:sz w:val="24"/>
        </w:rPr>
        <w:t>- иметь внутреннее (встроенное в конструкцию) освещение без использования внешней подсветки посредством выносного освещения;</w:t>
      </w:r>
    </w:p>
    <w:p w14:paraId="6D000000">
      <w:pPr>
        <w:ind w:firstLine="0" w:left="400"/>
        <w:jc w:val="both"/>
        <w:rPr>
          <w:color w:val="000000"/>
          <w:sz w:val="24"/>
        </w:rPr>
      </w:pPr>
      <w:r>
        <w:rPr>
          <w:color w:val="000000"/>
          <w:sz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6E000000">
      <w:pPr>
        <w:ind w:firstLine="0" w:left="400"/>
        <w:jc w:val="both"/>
        <w:rPr>
          <w:color w:val="000000"/>
          <w:sz w:val="24"/>
        </w:rPr>
      </w:pPr>
      <w:r>
        <w:rPr>
          <w:color w:val="000000"/>
          <w:sz w:val="24"/>
        </w:rPr>
        <w:t>- иметь электрооборудование (провода), окрашенные в цвет фасада здания, строения, сооружения;</w:t>
      </w:r>
    </w:p>
    <w:p w14:paraId="6F000000">
      <w:pPr>
        <w:ind w:firstLine="0" w:left="400"/>
        <w:jc w:val="both"/>
        <w:rPr>
          <w:color w:val="000000"/>
          <w:sz w:val="24"/>
        </w:rPr>
      </w:pPr>
      <w:r>
        <w:rPr>
          <w:color w:val="000000"/>
          <w:sz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70000000">
      <w:pPr>
        <w:ind w:firstLine="0" w:left="400"/>
        <w:jc w:val="both"/>
        <w:rPr>
          <w:color w:val="000000"/>
          <w:sz w:val="24"/>
        </w:rPr>
      </w:pPr>
      <w:r>
        <w:rPr>
          <w:color w:val="000000"/>
          <w:sz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газосветовых трубок или электроламп.</w:t>
      </w:r>
    </w:p>
    <w:p w14:paraId="71000000">
      <w:pPr>
        <w:ind w:firstLine="0" w:left="400"/>
        <w:jc w:val="both"/>
        <w:rPr>
          <w:color w:val="000000"/>
          <w:sz w:val="24"/>
        </w:rPr>
      </w:pPr>
    </w:p>
    <w:p w14:paraId="72000000">
      <w:pPr>
        <w:ind w:firstLine="0" w:left="400"/>
        <w:jc w:val="both"/>
        <w:rPr>
          <w:b w:val="1"/>
          <w:color w:val="000000"/>
          <w:sz w:val="24"/>
        </w:rPr>
      </w:pPr>
      <w:r>
        <w:rPr>
          <w:b w:val="1"/>
          <w:color w:val="000000"/>
          <w:sz w:val="24"/>
        </w:rPr>
        <w:t>3. Требования к размещению информационных конструкций.</w:t>
      </w:r>
    </w:p>
    <w:p w14:paraId="73000000">
      <w:pPr>
        <w:ind w:firstLine="0" w:left="400"/>
        <w:jc w:val="both"/>
        <w:rPr>
          <w:color w:val="000000"/>
          <w:sz w:val="24"/>
        </w:rPr>
      </w:pPr>
      <w:r>
        <w:rPr>
          <w:color w:val="000000"/>
          <w:sz w:val="24"/>
        </w:rPr>
        <w:t>3.1. Информационные конструкции</w:t>
      </w:r>
    </w:p>
    <w:p w14:paraId="74000000">
      <w:pPr>
        <w:ind w:firstLine="0" w:left="400"/>
        <w:jc w:val="both"/>
        <w:rPr>
          <w:color w:val="000000"/>
          <w:sz w:val="24"/>
        </w:rPr>
      </w:pPr>
      <w:r>
        <w:rPr>
          <w:color w:val="000000"/>
          <w:sz w:val="24"/>
        </w:rPr>
        <w:t>3.1.1. Информационные конструкции размещаются (рис. 2.):</w:t>
      </w:r>
    </w:p>
    <w:p w14:paraId="75000000">
      <w:pPr>
        <w:ind w:firstLine="0" w:left="400"/>
        <w:jc w:val="both"/>
        <w:rPr>
          <w:color w:val="000000"/>
          <w:sz w:val="24"/>
        </w:rPr>
      </w:pPr>
      <w:r>
        <w:rPr>
          <w:color w:val="000000"/>
          <w:sz w:val="24"/>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76000000">
      <w:pPr>
        <w:ind w:firstLine="0" w:left="400"/>
        <w:jc w:val="both"/>
        <w:rPr>
          <w:color w:val="000000"/>
          <w:sz w:val="24"/>
        </w:rPr>
      </w:pPr>
      <w:r>
        <w:rPr>
          <w:color w:val="000000"/>
          <w:sz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77000000">
      <w:pPr>
        <w:ind w:firstLine="0" w:left="400"/>
        <w:jc w:val="both"/>
        <w:rPr>
          <w:color w:val="000000"/>
          <w:sz w:val="24"/>
        </w:rPr>
      </w:pPr>
      <w:r>
        <w:rPr>
          <w:color w:val="000000"/>
          <w:sz w:val="24"/>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78000000">
      <w:pPr>
        <w:ind w:firstLine="0" w:left="400"/>
        <w:jc w:val="both"/>
        <w:rPr>
          <w:color w:val="000000"/>
          <w:sz w:val="24"/>
        </w:rPr>
      </w:pPr>
      <w:r>
        <w:rPr>
          <w:color w:val="000000"/>
          <w:sz w:val="24"/>
        </w:rPr>
        <w:t>- в витринах зданий, строений, сооружений (витринные вывески);</w:t>
      </w:r>
    </w:p>
    <w:p w14:paraId="79000000">
      <w:pPr>
        <w:ind w:firstLine="0" w:left="400"/>
        <w:jc w:val="both"/>
        <w:rPr>
          <w:color w:val="000000"/>
          <w:sz w:val="24"/>
        </w:rPr>
      </w:pPr>
      <w:r>
        <w:rPr>
          <w:color w:val="000000"/>
          <w:sz w:val="24"/>
        </w:rPr>
        <w:t>- на крыше здания, строения, сооружения параллельно плоскости соответствующего фасада здания, строения, сооружения (крышные вывески);</w:t>
      </w:r>
    </w:p>
    <w:p w14:paraId="7A000000">
      <w:pPr>
        <w:ind w:firstLine="0" w:left="400"/>
        <w:jc w:val="both"/>
        <w:rPr>
          <w:color w:val="000000"/>
          <w:sz w:val="24"/>
        </w:rPr>
      </w:pPr>
      <w:r>
        <w:rPr>
          <w:color w:val="000000"/>
          <w:sz w:val="24"/>
        </w:rPr>
        <w:t>- на сборно-разборных конструкциях, предназначенных для затенения фасадных элементов, защиты от атмосферных осадков (на маркизах);</w:t>
      </w:r>
    </w:p>
    <w:p w14:paraId="7B000000">
      <w:pPr>
        <w:ind w:firstLine="0" w:left="400"/>
        <w:jc w:val="both"/>
        <w:rPr>
          <w:color w:val="000000"/>
          <w:sz w:val="24"/>
        </w:rPr>
      </w:pPr>
      <w:r>
        <w:rPr>
          <w:color w:val="000000"/>
          <w:sz w:val="24"/>
        </w:rPr>
        <w:t>- на отдельно стоящих конструкциях в виде стел (информационные стелы).</w:t>
      </w:r>
    </w:p>
    <w:p w14:paraId="7C000000">
      <w:pPr>
        <w:ind w:firstLine="0" w:left="400"/>
        <w:rPr>
          <w:color w:val="000000"/>
          <w:sz w:val="24"/>
        </w:rPr>
      </w:pPr>
      <w:r>
        <w:rPr>
          <w:color w:val="000000"/>
          <w:sz w:val="24"/>
        </w:rPr>
        <w:drawing>
          <wp:inline>
            <wp:extent cx="5494020" cy="4892167"/>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5494020" cy="4892167"/>
                    </a:xfrm>
                    <a:prstGeom prst="rect"/>
                  </pic:spPr>
                </pic:pic>
              </a:graphicData>
            </a:graphic>
          </wp:inline>
        </w:drawing>
      </w:r>
    </w:p>
    <w:p w14:paraId="7D000000">
      <w:pPr>
        <w:ind w:firstLine="0" w:left="400"/>
        <w:jc w:val="center"/>
        <w:rPr>
          <w:color w:val="000000"/>
          <w:sz w:val="24"/>
        </w:rPr>
      </w:pPr>
      <w:r>
        <w:rPr>
          <w:color w:val="000000"/>
          <w:sz w:val="24"/>
        </w:rPr>
        <w:t>Рис. 2</w:t>
      </w:r>
    </w:p>
    <w:p w14:paraId="7E000000">
      <w:pPr>
        <w:ind w:firstLine="0" w:left="400"/>
        <w:jc w:val="center"/>
        <w:rPr>
          <w:color w:val="000000"/>
          <w:sz w:val="24"/>
        </w:rPr>
      </w:pPr>
    </w:p>
    <w:p w14:paraId="7F000000">
      <w:pPr>
        <w:ind w:firstLine="0" w:left="400"/>
        <w:jc w:val="center"/>
        <w:rPr>
          <w:color w:val="000000"/>
          <w:sz w:val="24"/>
        </w:rPr>
      </w:pPr>
    </w:p>
    <w:p w14:paraId="80000000">
      <w:pPr>
        <w:ind w:firstLine="0" w:left="400"/>
        <w:jc w:val="both"/>
        <w:rPr>
          <w:color w:val="000000"/>
          <w:sz w:val="24"/>
        </w:rPr>
      </w:pPr>
      <w:r>
        <w:rPr>
          <w:color w:val="000000"/>
          <w:sz w:val="24"/>
        </w:rPr>
        <w:t xml:space="preserve">3.1.2. </w:t>
      </w:r>
      <w:r>
        <w:rPr>
          <w:b w:val="1"/>
          <w:sz w:val="24"/>
        </w:rPr>
        <w:t>На одном фасаде здания</w:t>
      </w:r>
      <w:r>
        <w:rPr>
          <w:color w:val="000000"/>
          <w:sz w:val="24"/>
        </w:rPr>
        <w:t>, строения, сооружения, в котором фактически находится или осуществляет деятельность организация, индивидуальный предприниматель, физическое лицо, зарегистрированное как самозанятый, допускается размещение не более одной информационной конструкции, не более одной консольной вывески и не более одной таблички.</w:t>
      </w:r>
    </w:p>
    <w:p w14:paraId="81000000">
      <w:pPr>
        <w:ind w:firstLine="0" w:left="400"/>
        <w:jc w:val="both"/>
        <w:rPr>
          <w:color w:val="000000"/>
          <w:sz w:val="24"/>
        </w:rPr>
      </w:pPr>
      <w:r>
        <w:rPr>
          <w:color w:val="000000"/>
          <w:sz w:val="24"/>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82000000">
      <w:pPr>
        <w:ind w:firstLine="0" w:left="400"/>
        <w:jc w:val="both"/>
        <w:rPr>
          <w:color w:val="000000"/>
          <w:sz w:val="24"/>
        </w:rPr>
      </w:pPr>
      <w:r>
        <w:rPr>
          <w:color w:val="000000"/>
          <w:sz w:val="24"/>
        </w:rPr>
        <w:t>3.1.4. Размещение фасадных вывесок, витринных вывесок, крышных вывесок с использованием подложки, в виде единого светового короба запрещено.</w:t>
      </w:r>
    </w:p>
    <w:p w14:paraId="83000000">
      <w:pPr>
        <w:ind w:firstLine="0" w:left="400"/>
        <w:jc w:val="both"/>
        <w:rPr>
          <w:color w:val="000000"/>
          <w:sz w:val="24"/>
        </w:rPr>
      </w:pPr>
    </w:p>
    <w:p w14:paraId="84000000">
      <w:pPr>
        <w:ind w:firstLine="0" w:left="400"/>
        <w:jc w:val="both"/>
        <w:rPr>
          <w:b w:val="1"/>
          <w:color w:val="000000"/>
          <w:sz w:val="24"/>
        </w:rPr>
      </w:pPr>
      <w:r>
        <w:rPr>
          <w:b w:val="1"/>
          <w:color w:val="000000"/>
          <w:sz w:val="24"/>
        </w:rPr>
        <w:t>3.2. Требования к фасадным вывескам</w:t>
      </w:r>
    </w:p>
    <w:p w14:paraId="85000000">
      <w:pPr>
        <w:ind w:firstLine="0" w:left="400"/>
        <w:jc w:val="both"/>
        <w:rPr>
          <w:color w:val="000000"/>
          <w:sz w:val="24"/>
        </w:rPr>
      </w:pPr>
      <w:r>
        <w:rPr>
          <w:color w:val="000000"/>
          <w:sz w:val="24"/>
        </w:rPr>
        <w:t>3.2.1. Фасадные вывески размещаются (рис. 3):</w:t>
      </w:r>
    </w:p>
    <w:p w14:paraId="86000000">
      <w:pPr>
        <w:ind w:firstLine="0" w:left="400"/>
        <w:jc w:val="both"/>
        <w:rPr>
          <w:color w:val="000000"/>
          <w:sz w:val="24"/>
        </w:rPr>
      </w:pPr>
      <w:r>
        <w:rPr>
          <w:color w:val="000000"/>
          <w:sz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87000000">
      <w:pPr>
        <w:ind w:firstLine="0" w:left="400"/>
        <w:jc w:val="both"/>
        <w:rPr>
          <w:color w:val="000000"/>
          <w:sz w:val="24"/>
        </w:rPr>
      </w:pPr>
      <w:r>
        <w:rPr>
          <w:color w:val="000000"/>
          <w:sz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88000000">
      <w:pPr>
        <w:ind w:firstLine="0" w:left="400"/>
        <w:jc w:val="both"/>
        <w:rPr>
          <w:color w:val="000000"/>
          <w:sz w:val="24"/>
        </w:rPr>
      </w:pPr>
      <w:r>
        <w:rPr>
          <w:color w:val="000000"/>
          <w:sz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89000000">
      <w:pPr>
        <w:ind w:firstLine="0" w:left="400"/>
        <w:jc w:val="both"/>
        <w:rPr>
          <w:color w:val="000000"/>
          <w:sz w:val="24"/>
        </w:rPr>
      </w:pPr>
      <w:r>
        <w:rPr>
          <w:color w:val="000000"/>
          <w:sz w:val="24"/>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8A000000">
      <w:pPr>
        <w:ind w:firstLine="0" w:left="400"/>
        <w:jc w:val="both"/>
        <w:rPr>
          <w:color w:val="000000"/>
          <w:sz w:val="24"/>
        </w:rPr>
      </w:pPr>
      <w:r>
        <w:rPr>
          <w:color w:val="000000"/>
          <w:sz w:val="24"/>
        </w:rPr>
        <w:t>- между верхней линией окон первого этажа и крышей (карнизом) одноэтажных зданий, строений, сооружений;</w:t>
      </w:r>
    </w:p>
    <w:p w14:paraId="8B000000">
      <w:pPr>
        <w:ind w:firstLine="0" w:left="400"/>
        <w:jc w:val="both"/>
        <w:rPr>
          <w:color w:val="000000"/>
          <w:sz w:val="24"/>
        </w:rPr>
      </w:pPr>
      <w:r>
        <w:rPr>
          <w:color w:val="000000"/>
          <w:sz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8C000000">
      <w:pPr>
        <w:ind w:firstLine="0" w:left="400"/>
        <w:jc w:val="both"/>
        <w:rPr>
          <w:color w:val="000000"/>
          <w:sz w:val="24"/>
        </w:rPr>
      </w:pPr>
      <w:r>
        <w:rPr>
          <w:color w:val="000000"/>
          <w:sz w:val="24"/>
        </w:rPr>
        <w:t>- между верхней линией окон первого этажа и крышей (карнизом, фризом) на НТО.</w:t>
      </w:r>
    </w:p>
    <w:p w14:paraId="8D000000">
      <w:pPr>
        <w:ind w:firstLine="0" w:left="400"/>
        <w:jc w:val="both"/>
        <w:rPr>
          <w:color w:val="000000"/>
          <w:sz w:val="24"/>
        </w:rPr>
      </w:pPr>
    </w:p>
    <w:p w14:paraId="8E000000">
      <w:pPr>
        <w:ind w:firstLine="0" w:left="400"/>
        <w:jc w:val="center"/>
        <w:rPr>
          <w:color w:val="000000"/>
          <w:sz w:val="24"/>
        </w:rPr>
      </w:pPr>
      <w:r>
        <w:rPr>
          <w:color w:val="000000"/>
          <w:sz w:val="24"/>
        </w:rPr>
        <w:drawing>
          <wp:inline>
            <wp:extent cx="5730367" cy="2049653"/>
            <wp:docPr hidden="false" id="6" name="Picture 6"/>
            <a:graphic>
              <a:graphicData uri="http://schemas.openxmlformats.org/drawingml/2006/picture">
                <pic:pic>
                  <pic:nvPicPr>
                    <pic:cNvPr hidden="false" id="5" name="Picture 5"/>
                    <pic:cNvPicPr preferRelativeResize="true"/>
                  </pic:nvPicPr>
                  <pic:blipFill>
                    <a:blip r:embed="rId3"/>
                    <a:srcRect b="57683" l="0" r="0" t="0"/>
                    <a:stretch/>
                  </pic:blipFill>
                  <pic:spPr>
                    <a:xfrm flipH="false" flipV="false" rot="0">
                      <a:ext cx="5730367" cy="2049653"/>
                    </a:xfrm>
                    <a:prstGeom prst="rect"/>
                  </pic:spPr>
                </pic:pic>
              </a:graphicData>
            </a:graphic>
          </wp:inline>
        </w:drawing>
      </w:r>
    </w:p>
    <w:p w14:paraId="8F000000">
      <w:pPr>
        <w:ind w:firstLine="0" w:left="400"/>
        <w:jc w:val="center"/>
        <w:rPr>
          <w:color w:val="000000"/>
          <w:sz w:val="24"/>
        </w:rPr>
      </w:pPr>
      <w:r>
        <w:rPr>
          <w:color w:val="000000"/>
          <w:sz w:val="24"/>
        </w:rPr>
        <w:t>Рис.3</w:t>
      </w:r>
    </w:p>
    <w:p w14:paraId="90000000">
      <w:pPr>
        <w:ind w:firstLine="0" w:left="400"/>
        <w:jc w:val="both"/>
        <w:rPr>
          <w:color w:val="000000"/>
          <w:sz w:val="24"/>
        </w:rPr>
      </w:pPr>
      <w:r>
        <w:rPr>
          <w:color w:val="000000"/>
          <w:sz w:val="24"/>
        </w:rPr>
        <w:t>3.2.2. При наличии на фасаде здания, строения, сооружения, а также на НТО фриза фасадные вывески размещаются исключительно на фризе (рис. 4).</w:t>
      </w:r>
    </w:p>
    <w:p w14:paraId="91000000">
      <w:pPr>
        <w:ind w:firstLine="0" w:left="400"/>
        <w:jc w:val="both"/>
        <w:rPr>
          <w:color w:val="000000"/>
          <w:sz w:val="24"/>
        </w:rPr>
      </w:pPr>
      <w:r>
        <w:rPr>
          <w:color w:val="000000"/>
          <w:sz w:val="24"/>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92000000">
      <w:pPr>
        <w:ind w:firstLine="0" w:left="400"/>
        <w:jc w:val="both"/>
        <w:rPr>
          <w:color w:val="000000"/>
          <w:sz w:val="24"/>
        </w:rPr>
      </w:pPr>
      <w:r>
        <w:rPr>
          <w:color w:val="000000"/>
          <w:sz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93000000">
      <w:pPr>
        <w:ind w:firstLine="0" w:left="400"/>
        <w:jc w:val="center"/>
        <w:rPr>
          <w:color w:val="000000"/>
          <w:sz w:val="24"/>
        </w:rPr>
      </w:pPr>
      <w:r>
        <w:rPr>
          <w:color w:val="000000"/>
          <w:sz w:val="24"/>
        </w:rPr>
        <w:drawing>
          <wp:inline>
            <wp:extent cx="5912993" cy="2598293"/>
            <wp:docPr hidden="false" id="8" name="Picture 8"/>
            <a:graphic>
              <a:graphicData uri="http://schemas.openxmlformats.org/drawingml/2006/picture">
                <pic:pic>
                  <pic:nvPicPr>
                    <pic:cNvPr hidden="false" id="7" name="Picture 7"/>
                    <pic:cNvPicPr preferRelativeResize="true"/>
                  </pic:nvPicPr>
                  <pic:blipFill>
                    <a:blip r:embed="rId4"/>
                    <a:srcRect b="0" l="0" r="0" t="48218"/>
                    <a:stretch/>
                  </pic:blipFill>
                  <pic:spPr>
                    <a:xfrm flipH="false" flipV="false" rot="0">
                      <a:ext cx="5912993" cy="2598293"/>
                    </a:xfrm>
                    <a:prstGeom prst="rect"/>
                  </pic:spPr>
                </pic:pic>
              </a:graphicData>
            </a:graphic>
          </wp:inline>
        </w:drawing>
      </w:r>
    </w:p>
    <w:p w14:paraId="94000000">
      <w:pPr>
        <w:ind w:firstLine="0" w:left="400"/>
        <w:jc w:val="center"/>
        <w:rPr>
          <w:color w:val="000000"/>
          <w:sz w:val="24"/>
        </w:rPr>
      </w:pPr>
      <w:r>
        <w:rPr>
          <w:color w:val="000000"/>
          <w:sz w:val="24"/>
        </w:rPr>
        <w:t>Рис.4</w:t>
      </w:r>
    </w:p>
    <w:p w14:paraId="95000000">
      <w:pPr>
        <w:ind w:firstLine="0" w:left="400"/>
        <w:rPr>
          <w:color w:val="000000"/>
          <w:sz w:val="24"/>
        </w:rPr>
      </w:pPr>
    </w:p>
    <w:p w14:paraId="96000000">
      <w:pPr>
        <w:ind w:firstLine="0" w:left="400"/>
        <w:jc w:val="both"/>
        <w:rPr>
          <w:color w:val="000000"/>
          <w:sz w:val="24"/>
        </w:rPr>
      </w:pPr>
      <w:r>
        <w:rPr>
          <w:color w:val="000000"/>
          <w:sz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97000000">
      <w:pPr>
        <w:ind w:firstLine="0" w:left="400"/>
        <w:jc w:val="both"/>
        <w:rPr>
          <w:color w:val="000000"/>
          <w:sz w:val="24"/>
        </w:rPr>
      </w:pPr>
      <w:r>
        <w:rPr>
          <w:color w:val="000000"/>
          <w:sz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98000000">
      <w:pPr>
        <w:ind w:firstLine="0" w:left="400"/>
        <w:jc w:val="both"/>
        <w:rPr>
          <w:color w:val="000000"/>
          <w:sz w:val="24"/>
        </w:rPr>
      </w:pPr>
      <w:r>
        <w:rPr>
          <w:color w:val="000000"/>
          <w:sz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99000000">
      <w:pPr>
        <w:ind w:firstLine="0" w:left="400"/>
        <w:jc w:val="both"/>
        <w:rPr>
          <w:color w:val="000000"/>
          <w:sz w:val="24"/>
        </w:rPr>
      </w:pPr>
      <w:r>
        <w:rPr>
          <w:color w:val="000000"/>
          <w:sz w:val="24"/>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9A000000">
      <w:pPr>
        <w:ind w:firstLine="0" w:left="400"/>
        <w:jc w:val="both"/>
        <w:rPr>
          <w:color w:val="000000"/>
          <w:sz w:val="24"/>
        </w:rPr>
      </w:pPr>
      <w:r>
        <w:rPr>
          <w:color w:val="000000"/>
          <w:sz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9B000000">
      <w:pPr>
        <w:ind w:firstLine="0" w:left="400"/>
        <w:jc w:val="both"/>
        <w:rPr>
          <w:color w:val="000000"/>
          <w:sz w:val="24"/>
        </w:rPr>
      </w:pPr>
      <w:r>
        <w:rPr>
          <w:color w:val="000000"/>
          <w:sz w:val="24"/>
        </w:rPr>
        <w:t>3.2.10. Фасадная вывеска должна размещаться на расстоянии не менее 200 мм от оконных и дверных проемов, карниза, парапета кровли.</w:t>
      </w:r>
    </w:p>
    <w:p w14:paraId="9C000000">
      <w:pPr>
        <w:ind w:firstLine="0" w:left="400"/>
        <w:jc w:val="both"/>
        <w:rPr>
          <w:color w:val="000000"/>
          <w:sz w:val="24"/>
        </w:rPr>
      </w:pPr>
      <w:r>
        <w:rPr>
          <w:color w:val="000000"/>
          <w:sz w:val="24"/>
        </w:rPr>
        <w:t>3.2.11. Вывески на фасадах необходимо размещать без выступа за боковые пределы фасада и с учетом его архитектурного членения.</w:t>
      </w:r>
    </w:p>
    <w:p w14:paraId="9D000000">
      <w:pPr>
        <w:ind w:firstLine="0" w:left="400"/>
        <w:jc w:val="both"/>
        <w:rPr>
          <w:color w:val="000000"/>
          <w:sz w:val="24"/>
        </w:rPr>
      </w:pPr>
      <w:r>
        <w:rPr>
          <w:color w:val="000000"/>
          <w:sz w:val="24"/>
        </w:rPr>
        <w:t>3.2.12. Не допускается размещать вывески на фасадах жилого здания, где отсутствует вход в помещение, к которому относится вывеска.</w:t>
      </w:r>
    </w:p>
    <w:p w14:paraId="9E000000">
      <w:pPr>
        <w:ind w:firstLine="0" w:left="400"/>
        <w:jc w:val="both"/>
        <w:rPr>
          <w:color w:val="000000"/>
          <w:sz w:val="24"/>
        </w:rPr>
      </w:pPr>
      <w:r>
        <w:rPr>
          <w:color w:val="000000"/>
          <w:sz w:val="24"/>
        </w:rPr>
        <w:t>3.2.13. Не допускается размещение вывесок на уровне жилых этажей.</w:t>
      </w:r>
    </w:p>
    <w:p w14:paraId="9F000000">
      <w:pPr>
        <w:ind w:firstLine="0" w:left="400"/>
        <w:jc w:val="both"/>
        <w:rPr>
          <w:color w:val="000000"/>
          <w:sz w:val="24"/>
        </w:rPr>
      </w:pPr>
      <w:r>
        <w:rPr>
          <w:color w:val="000000"/>
          <w:sz w:val="24"/>
        </w:rPr>
        <w:t>3.2.14. Размещение фасадной вывески осуществляется с соблюдением следующих требований (рис. 5):</w:t>
      </w:r>
    </w:p>
    <w:p w14:paraId="A0000000">
      <w:pPr>
        <w:ind w:firstLine="0" w:left="400"/>
        <w:jc w:val="both"/>
        <w:rPr>
          <w:color w:val="000000"/>
          <w:sz w:val="24"/>
        </w:rPr>
      </w:pPr>
      <w:r>
        <w:rPr>
          <w:color w:val="000000"/>
          <w:sz w:val="24"/>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A1000000">
      <w:pPr>
        <w:ind w:firstLine="0" w:left="400"/>
        <w:jc w:val="both"/>
        <w:rPr>
          <w:color w:val="000000"/>
          <w:sz w:val="24"/>
        </w:rPr>
      </w:pPr>
      <w:r>
        <w:rPr>
          <w:color w:val="000000"/>
          <w:sz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A2000000">
      <w:pPr>
        <w:ind w:firstLine="0" w:left="400"/>
        <w:jc w:val="both"/>
        <w:rPr>
          <w:color w:val="000000"/>
          <w:sz w:val="24"/>
        </w:rPr>
      </w:pPr>
      <w:r>
        <w:rPr>
          <w:color w:val="000000"/>
          <w:sz w:val="24"/>
        </w:rPr>
        <w:t>- в случае размещения вывески и логотипа на фризе высота вывески и логотипа должна составлять не более 70% высоты фриза;</w:t>
      </w:r>
    </w:p>
    <w:p w14:paraId="A3000000">
      <w:pPr>
        <w:ind w:firstLine="0" w:left="400"/>
        <w:jc w:val="both"/>
        <w:rPr>
          <w:color w:val="000000"/>
          <w:sz w:val="24"/>
        </w:rPr>
      </w:pPr>
      <w:r>
        <w:rPr>
          <w:color w:val="000000"/>
          <w:sz w:val="24"/>
        </w:rPr>
        <w:t>- высота торцевого профиля букв, цифр, символов в составе вывески не должна превышать 70 мм;</w:t>
      </w:r>
    </w:p>
    <w:p w14:paraId="A4000000">
      <w:pPr>
        <w:ind w:firstLine="0" w:left="400"/>
        <w:rPr>
          <w:color w:val="000000"/>
          <w:sz w:val="24"/>
        </w:rPr>
      </w:pPr>
    </w:p>
    <w:p w14:paraId="A5000000">
      <w:pPr>
        <w:ind w:firstLine="0" w:left="400"/>
        <w:rPr>
          <w:color w:val="000000"/>
          <w:sz w:val="24"/>
        </w:rPr>
      </w:pPr>
      <w:r>
        <w:rPr>
          <w:color w:val="000000"/>
          <w:sz w:val="24"/>
        </w:rPr>
        <w:drawing>
          <wp:inline>
            <wp:extent cx="4930140" cy="807847"/>
            <wp:docPr hidden="false" id="10" name="Picture 10"/>
            <a:graphic>
              <a:graphicData uri="http://schemas.openxmlformats.org/drawingml/2006/picture">
                <pic:pic>
                  <pic:nvPicPr>
                    <pic:cNvPr hidden="false" id="9" name="Picture 9"/>
                    <pic:cNvPicPr preferRelativeResize="true"/>
                  </pic:nvPicPr>
                  <pic:blipFill>
                    <a:blip r:embed="rId5"/>
                    <a:srcRect b="16791" l="-781" r="781" t="19542"/>
                    <a:stretch/>
                  </pic:blipFill>
                  <pic:spPr>
                    <a:xfrm flipH="false" flipV="false" rot="0">
                      <a:ext cx="4930140" cy="807847"/>
                    </a:xfrm>
                    <a:prstGeom prst="rect"/>
                  </pic:spPr>
                </pic:pic>
              </a:graphicData>
            </a:graphic>
          </wp:inline>
        </w:drawing>
      </w:r>
    </w:p>
    <w:p w14:paraId="A6000000">
      <w:pPr>
        <w:ind w:firstLine="0" w:left="400"/>
        <w:rPr>
          <w:color w:val="000000"/>
          <w:sz w:val="24"/>
        </w:rPr>
      </w:pPr>
    </w:p>
    <w:p w14:paraId="A7000000">
      <w:pPr>
        <w:ind w:firstLine="0" w:left="400"/>
        <w:rPr>
          <w:color w:val="000000"/>
          <w:sz w:val="24"/>
        </w:rPr>
      </w:pPr>
      <w:r>
        <w:rPr>
          <w:color w:val="000000"/>
          <w:sz w:val="24"/>
        </w:rPr>
        <w:t>Нестационарные объекты:</w:t>
      </w:r>
    </w:p>
    <w:p w14:paraId="A8000000">
      <w:pPr>
        <w:ind w:firstLine="0" w:left="400"/>
        <w:rPr>
          <w:color w:val="000000"/>
          <w:sz w:val="24"/>
        </w:rPr>
      </w:pPr>
    </w:p>
    <w:p w14:paraId="A9000000">
      <w:pPr>
        <w:ind w:firstLine="0" w:left="400"/>
        <w:rPr>
          <w:color w:val="000000"/>
          <w:sz w:val="24"/>
        </w:rPr>
      </w:pPr>
      <w:r>
        <w:rPr>
          <w:color w:val="000000"/>
          <w:sz w:val="24"/>
        </w:rPr>
        <w:drawing>
          <wp:inline>
            <wp:extent cx="2865120" cy="205740"/>
            <wp:docPr hidden="false" id="12" name="Picture 12"/>
            <a:graphic>
              <a:graphicData uri="http://schemas.openxmlformats.org/drawingml/2006/picture">
                <pic:pic>
                  <pic:nvPicPr>
                    <pic:cNvPr hidden="false" id="11" name="Picture 11"/>
                    <pic:cNvPicPr preferRelativeResize="true"/>
                  </pic:nvPicPr>
                  <pic:blipFill>
                    <a:blip r:embed="rId6"/>
                    <a:srcRect b="92107" l="19380" r="16954" t="2516"/>
                    <a:stretch/>
                  </pic:blipFill>
                  <pic:spPr>
                    <a:xfrm flipH="false" flipV="false" rot="0">
                      <a:ext cx="2865120" cy="205740"/>
                    </a:xfrm>
                    <a:prstGeom prst="rect"/>
                  </pic:spPr>
                </pic:pic>
              </a:graphicData>
            </a:graphic>
          </wp:inline>
        </w:drawing>
      </w:r>
    </w:p>
    <w:p w14:paraId="AA000000">
      <w:pPr>
        <w:ind w:firstLine="0" w:left="400"/>
        <w:jc w:val="center"/>
        <w:rPr>
          <w:color w:val="000000"/>
          <w:sz w:val="24"/>
        </w:rPr>
      </w:pPr>
    </w:p>
    <w:p w14:paraId="AB000000">
      <w:pPr>
        <w:ind w:firstLine="0" w:left="400"/>
        <w:rPr>
          <w:color w:val="000000"/>
          <w:sz w:val="24"/>
        </w:rPr>
      </w:pPr>
      <w:r>
        <w:rPr>
          <w:color w:val="000000"/>
          <w:sz w:val="24"/>
        </w:rPr>
        <w:drawing>
          <wp:inline>
            <wp:extent cx="4709287" cy="2499233"/>
            <wp:docPr hidden="false" id="14" name="Picture 14"/>
            <a:graphic>
              <a:graphicData uri="http://schemas.openxmlformats.org/drawingml/2006/picture">
                <pic:pic>
                  <pic:nvPicPr>
                    <pic:cNvPr hidden="false" id="13" name="Picture 13"/>
                    <pic:cNvPicPr preferRelativeResize="true"/>
                  </pic:nvPicPr>
                  <pic:blipFill>
                    <a:blip r:embed="rId7"/>
                    <a:srcRect b="0" l="8644" r="33202" t="30174"/>
                    <a:stretch/>
                  </pic:blipFill>
                  <pic:spPr>
                    <a:xfrm flipH="false" flipV="false" rot="0">
                      <a:ext cx="4709287" cy="2499233"/>
                    </a:xfrm>
                    <a:prstGeom prst="rect"/>
                  </pic:spPr>
                </pic:pic>
              </a:graphicData>
            </a:graphic>
          </wp:inline>
        </w:drawing>
      </w:r>
    </w:p>
    <w:p w14:paraId="AC000000">
      <w:pPr>
        <w:ind w:firstLine="0" w:left="400"/>
        <w:jc w:val="center"/>
        <w:rPr>
          <w:color w:val="000000"/>
          <w:sz w:val="24"/>
        </w:rPr>
      </w:pPr>
      <w:r>
        <w:rPr>
          <w:color w:val="000000"/>
          <w:sz w:val="24"/>
        </w:rPr>
        <w:t>Рис.5</w:t>
      </w:r>
    </w:p>
    <w:p w14:paraId="AD000000">
      <w:pPr>
        <w:ind w:firstLine="0" w:left="400"/>
        <w:jc w:val="both"/>
        <w:rPr>
          <w:color w:val="000000"/>
          <w:sz w:val="24"/>
        </w:rPr>
      </w:pPr>
      <w:r>
        <w:rPr>
          <w:color w:val="000000"/>
          <w:sz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AE000000">
      <w:pPr>
        <w:ind w:firstLine="0" w:left="400"/>
        <w:jc w:val="both"/>
        <w:rPr>
          <w:color w:val="000000"/>
          <w:sz w:val="24"/>
        </w:rPr>
      </w:pPr>
      <w:r>
        <w:rPr>
          <w:color w:val="000000"/>
          <w:sz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AF000000">
      <w:pPr>
        <w:ind w:firstLine="0" w:left="400"/>
        <w:jc w:val="both"/>
        <w:rPr>
          <w:color w:val="000000"/>
          <w:sz w:val="24"/>
        </w:rPr>
      </w:pPr>
      <w:r>
        <w:rPr>
          <w:color w:val="000000"/>
          <w:sz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B0000000">
      <w:pPr>
        <w:ind w:firstLine="0" w:left="400"/>
        <w:jc w:val="both"/>
        <w:rPr>
          <w:color w:val="000000"/>
          <w:sz w:val="24"/>
        </w:rPr>
      </w:pPr>
      <w:r>
        <w:rPr>
          <w:color w:val="000000"/>
          <w:sz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B1000000">
      <w:pPr>
        <w:ind w:firstLine="0" w:left="400"/>
        <w:jc w:val="both"/>
        <w:rPr>
          <w:color w:val="000000"/>
          <w:sz w:val="24"/>
        </w:rPr>
      </w:pPr>
      <w:r>
        <w:rPr>
          <w:color w:val="000000"/>
          <w:sz w:val="24"/>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B2000000">
      <w:pPr>
        <w:ind w:firstLine="0" w:left="400"/>
        <w:jc w:val="both"/>
        <w:rPr>
          <w:b w:val="1"/>
          <w:color w:val="000000"/>
          <w:sz w:val="24"/>
        </w:rPr>
      </w:pPr>
    </w:p>
    <w:p w14:paraId="B3000000">
      <w:pPr>
        <w:ind w:firstLine="0" w:left="400"/>
        <w:jc w:val="both"/>
        <w:rPr>
          <w:color w:val="000000"/>
          <w:sz w:val="24"/>
        </w:rPr>
      </w:pPr>
      <w:r>
        <w:rPr>
          <w:b w:val="1"/>
          <w:color w:val="000000"/>
          <w:sz w:val="24"/>
        </w:rPr>
        <w:t>3.3. Требования к табличкам</w:t>
      </w:r>
      <w:r>
        <w:rPr>
          <w:color w:val="000000"/>
          <w:sz w:val="24"/>
        </w:rPr>
        <w:t xml:space="preserve"> (рис. 6)</w:t>
      </w:r>
    </w:p>
    <w:p w14:paraId="B4000000">
      <w:pPr>
        <w:ind w:firstLine="0" w:left="400"/>
        <w:jc w:val="both"/>
        <w:rPr>
          <w:color w:val="000000"/>
          <w:sz w:val="24"/>
        </w:rPr>
      </w:pPr>
    </w:p>
    <w:p w14:paraId="B5000000">
      <w:pPr>
        <w:ind w:firstLine="0" w:left="400"/>
        <w:jc w:val="both"/>
        <w:rPr>
          <w:color w:val="000000"/>
          <w:sz w:val="24"/>
        </w:rPr>
      </w:pPr>
      <w:r>
        <w:rPr>
          <w:color w:val="000000"/>
          <w:sz w:val="24"/>
        </w:rPr>
        <w:drawing>
          <wp:inline>
            <wp:extent cx="5715127" cy="2156460"/>
            <wp:docPr hidden="false" id="16" name="Picture 16"/>
            <a:graphic>
              <a:graphicData uri="http://schemas.openxmlformats.org/drawingml/2006/picture">
                <pic:pic>
                  <pic:nvPicPr>
                    <pic:cNvPr hidden="false" id="15" name="Picture 15"/>
                    <pic:cNvPicPr preferRelativeResize="true"/>
                  </pic:nvPicPr>
                  <pic:blipFill>
                    <a:blip r:embed="rId8"/>
                    <a:srcRect b="0" l="0" r="0" t="51546"/>
                    <a:stretch/>
                  </pic:blipFill>
                  <pic:spPr>
                    <a:xfrm flipH="false" flipV="false" rot="0">
                      <a:ext cx="5715127" cy="2156460"/>
                    </a:xfrm>
                    <a:prstGeom prst="rect"/>
                  </pic:spPr>
                </pic:pic>
              </a:graphicData>
            </a:graphic>
          </wp:inline>
        </w:drawing>
      </w:r>
    </w:p>
    <w:p w14:paraId="B6000000">
      <w:pPr>
        <w:ind w:firstLine="0" w:left="400"/>
        <w:jc w:val="center"/>
        <w:rPr>
          <w:color w:val="000000"/>
          <w:sz w:val="24"/>
        </w:rPr>
      </w:pPr>
      <w:r>
        <w:rPr>
          <w:color w:val="000000"/>
          <w:sz w:val="24"/>
        </w:rPr>
        <w:t>Рис.6</w:t>
      </w:r>
    </w:p>
    <w:p w14:paraId="B7000000">
      <w:pPr>
        <w:ind w:firstLine="0" w:left="400"/>
        <w:jc w:val="both"/>
        <w:rPr>
          <w:color w:val="000000"/>
          <w:sz w:val="24"/>
        </w:rPr>
      </w:pPr>
    </w:p>
    <w:p w14:paraId="B8000000">
      <w:pPr>
        <w:ind w:firstLine="0" w:left="400"/>
        <w:jc w:val="both"/>
        <w:rPr>
          <w:color w:val="000000"/>
          <w:sz w:val="24"/>
        </w:rPr>
      </w:pPr>
      <w:r>
        <w:rPr>
          <w:color w:val="000000"/>
          <w:sz w:val="24"/>
        </w:rPr>
        <w:t>3.3.1. Допускаются следующие варианты размещения:</w:t>
      </w:r>
    </w:p>
    <w:p w14:paraId="B9000000">
      <w:pPr>
        <w:ind w:firstLine="0" w:left="400"/>
        <w:jc w:val="both"/>
        <w:rPr>
          <w:color w:val="000000"/>
          <w:sz w:val="24"/>
        </w:rPr>
      </w:pPr>
      <w:r>
        <w:rPr>
          <w:color w:val="000000"/>
          <w:sz w:val="24"/>
        </w:rPr>
        <w:t>- в виде отдельной таблички;</w:t>
      </w:r>
    </w:p>
    <w:p w14:paraId="BA000000">
      <w:pPr>
        <w:ind w:firstLine="0" w:left="400"/>
        <w:jc w:val="both"/>
        <w:rPr>
          <w:color w:val="000000"/>
          <w:sz w:val="24"/>
        </w:rPr>
      </w:pPr>
      <w:r>
        <w:rPr>
          <w:color w:val="000000"/>
          <w:sz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BB000000">
      <w:pPr>
        <w:ind w:firstLine="0" w:left="400"/>
        <w:jc w:val="both"/>
        <w:rPr>
          <w:color w:val="000000"/>
          <w:sz w:val="24"/>
        </w:rPr>
      </w:pPr>
      <w:r>
        <w:rPr>
          <w:color w:val="000000"/>
          <w:sz w:val="24"/>
        </w:rPr>
        <w:t>соразмерной входной группе (в случае необходимости размещения у общего входа в здание, строение, сооружение более трех табличек).</w:t>
      </w:r>
    </w:p>
    <w:p w14:paraId="BC000000">
      <w:pPr>
        <w:ind w:firstLine="0" w:left="400"/>
        <w:jc w:val="both"/>
        <w:rPr>
          <w:color w:val="000000"/>
          <w:sz w:val="24"/>
        </w:rPr>
      </w:pPr>
      <w:r>
        <w:rPr>
          <w:color w:val="000000"/>
          <w:sz w:val="24"/>
        </w:rPr>
        <w:t>3.3.2. Размещение табличек осуществляется с соблюдением следующих требований:</w:t>
      </w:r>
    </w:p>
    <w:p w14:paraId="BD000000">
      <w:pPr>
        <w:ind w:firstLine="0" w:left="400"/>
        <w:jc w:val="both"/>
        <w:rPr>
          <w:color w:val="000000"/>
          <w:sz w:val="24"/>
        </w:rPr>
      </w:pPr>
      <w:r>
        <w:rPr>
          <w:color w:val="000000"/>
          <w:sz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BE000000">
      <w:pPr>
        <w:ind w:firstLine="0" w:left="400"/>
        <w:jc w:val="both"/>
        <w:rPr>
          <w:color w:val="000000"/>
          <w:sz w:val="24"/>
        </w:rPr>
      </w:pPr>
      <w:r>
        <w:rPr>
          <w:color w:val="000000"/>
          <w:sz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BF000000">
      <w:pPr>
        <w:ind w:firstLine="0" w:left="400"/>
        <w:jc w:val="both"/>
        <w:rPr>
          <w:color w:val="000000"/>
          <w:sz w:val="24"/>
        </w:rPr>
      </w:pPr>
      <w:r>
        <w:rPr>
          <w:color w:val="000000"/>
          <w:sz w:val="24"/>
        </w:rPr>
        <w:t>400 мм по высоте, 300 мм по ширине;</w:t>
      </w:r>
    </w:p>
    <w:p w14:paraId="C0000000">
      <w:pPr>
        <w:ind w:firstLine="0" w:left="400"/>
        <w:jc w:val="both"/>
        <w:rPr>
          <w:color w:val="000000"/>
          <w:sz w:val="24"/>
        </w:rPr>
      </w:pPr>
      <w:r>
        <w:rPr>
          <w:color w:val="000000"/>
          <w:sz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C1000000">
      <w:pPr>
        <w:ind w:firstLine="0" w:left="400"/>
        <w:jc w:val="both"/>
        <w:rPr>
          <w:color w:val="000000"/>
          <w:sz w:val="24"/>
        </w:rPr>
      </w:pPr>
      <w:r>
        <w:rPr>
          <w:color w:val="000000"/>
          <w:sz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C2000000">
      <w:pPr>
        <w:ind w:firstLine="0" w:left="400"/>
        <w:jc w:val="both"/>
        <w:rPr>
          <w:color w:val="000000"/>
          <w:sz w:val="24"/>
        </w:rPr>
      </w:pPr>
      <w:r>
        <w:rPr>
          <w:color w:val="000000"/>
          <w:sz w:val="24"/>
        </w:rPr>
        <w:t>- в оформлении таблички не должно использоваться более трех цветов;</w:t>
      </w:r>
    </w:p>
    <w:p w14:paraId="C3000000">
      <w:pPr>
        <w:ind w:firstLine="0" w:left="400"/>
        <w:jc w:val="both"/>
        <w:rPr>
          <w:color w:val="000000"/>
          <w:sz w:val="24"/>
        </w:rPr>
      </w:pPr>
      <w:r>
        <w:rPr>
          <w:color w:val="000000"/>
          <w:sz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C4000000">
      <w:pPr>
        <w:ind w:firstLine="0" w:left="400"/>
        <w:jc w:val="both"/>
        <w:rPr>
          <w:color w:val="000000"/>
          <w:sz w:val="24"/>
        </w:rPr>
      </w:pPr>
      <w:r>
        <w:rPr>
          <w:color w:val="000000"/>
          <w:sz w:val="24"/>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14:paraId="C5000000">
      <w:pPr>
        <w:ind w:firstLine="0" w:left="400"/>
        <w:jc w:val="both"/>
        <w:rPr>
          <w:color w:val="000000"/>
          <w:sz w:val="24"/>
        </w:rPr>
      </w:pPr>
      <w:r>
        <w:rPr>
          <w:color w:val="000000"/>
          <w:sz w:val="24"/>
        </w:rPr>
        <w:t>- высота букв, цифр, символов должна быть не более 100 мм;</w:t>
      </w:r>
    </w:p>
    <w:p w14:paraId="C6000000">
      <w:pPr>
        <w:ind w:firstLine="0" w:left="400"/>
        <w:jc w:val="both"/>
        <w:rPr>
          <w:color w:val="000000"/>
          <w:sz w:val="24"/>
        </w:rPr>
      </w:pPr>
      <w:r>
        <w:rPr>
          <w:color w:val="000000"/>
          <w:sz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C7000000">
      <w:pPr>
        <w:ind w:firstLine="0" w:left="400"/>
        <w:jc w:val="both"/>
        <w:rPr>
          <w:color w:val="000000"/>
          <w:sz w:val="24"/>
        </w:rPr>
      </w:pPr>
      <w:r>
        <w:rPr>
          <w:color w:val="000000"/>
          <w:sz w:val="24"/>
        </w:rPr>
        <w:t>- число табличек, размещ</w:t>
      </w:r>
      <w:r>
        <w:rPr>
          <w:sz w:val="24"/>
        </w:rPr>
        <w:t>енных</w:t>
      </w:r>
      <w:r>
        <w:rPr>
          <w:color w:val="000000"/>
          <w:sz w:val="24"/>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C8000000">
      <w:pPr>
        <w:ind w:firstLine="0" w:left="400"/>
        <w:jc w:val="both"/>
        <w:rPr>
          <w:color w:val="000000"/>
          <w:sz w:val="24"/>
        </w:rPr>
      </w:pPr>
      <w:r>
        <w:rPr>
          <w:color w:val="000000"/>
          <w:sz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C9000000">
      <w:pPr>
        <w:ind w:firstLine="0" w:left="400"/>
        <w:jc w:val="both"/>
        <w:rPr>
          <w:b w:val="1"/>
          <w:sz w:val="24"/>
        </w:rPr>
      </w:pPr>
      <w:r>
        <w:rPr>
          <w:b w:val="1"/>
          <w:sz w:val="24"/>
        </w:rPr>
        <w:t>3.4. Требования к консольным вывескам.</w:t>
      </w:r>
    </w:p>
    <w:p w14:paraId="CA000000">
      <w:pPr>
        <w:ind w:firstLine="0" w:left="400"/>
        <w:jc w:val="both"/>
        <w:rPr>
          <w:sz w:val="24"/>
        </w:rPr>
      </w:pPr>
      <w:r>
        <w:rPr>
          <w:sz w:val="24"/>
        </w:rPr>
        <w:t>3.4.1. Допускаются следующие варианты размещение консольных вывесок:</w:t>
      </w:r>
    </w:p>
    <w:p w14:paraId="CB000000">
      <w:pPr>
        <w:ind w:firstLine="0" w:left="400"/>
        <w:jc w:val="both"/>
        <w:rPr>
          <w:sz w:val="24"/>
        </w:rPr>
      </w:pPr>
      <w:r>
        <w:rPr>
          <w:sz w:val="24"/>
        </w:rPr>
        <w:t>- над верхней линией окон первого этажа, но не выше 200 мм от нижней линии окон второго этажа зданий, строений, сооружений;</w:t>
      </w:r>
    </w:p>
    <w:p w14:paraId="CC000000">
      <w:pPr>
        <w:ind w:firstLine="0" w:left="400"/>
        <w:jc w:val="both"/>
        <w:rPr>
          <w:sz w:val="24"/>
        </w:rPr>
      </w:pPr>
      <w:r>
        <w:rPr>
          <w:sz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CD000000">
      <w:pPr>
        <w:ind w:firstLine="0" w:left="400"/>
        <w:jc w:val="both"/>
        <w:rPr>
          <w:sz w:val="24"/>
        </w:rPr>
      </w:pPr>
      <w:r>
        <w:rPr>
          <w:sz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CE000000">
      <w:pPr>
        <w:ind w:firstLine="0" w:left="400"/>
        <w:jc w:val="both"/>
        <w:rPr>
          <w:sz w:val="24"/>
        </w:rPr>
      </w:pPr>
      <w:r>
        <w:rPr>
          <w:sz w:val="24"/>
        </w:rPr>
        <w:t>- на высоте не менее 2700 мм от отметки поверхности земли на одной горизонтальной оси с вывеской (рис. 7).</w:t>
      </w:r>
    </w:p>
    <w:p w14:paraId="CF000000">
      <w:pPr>
        <w:ind w:firstLine="0" w:left="400"/>
        <w:jc w:val="both"/>
        <w:rPr>
          <w:sz w:val="24"/>
        </w:rPr>
      </w:pPr>
    </w:p>
    <w:p w14:paraId="D0000000">
      <w:pPr>
        <w:ind w:firstLine="0" w:left="400"/>
        <w:jc w:val="both"/>
        <w:rPr>
          <w:sz w:val="24"/>
        </w:rPr>
      </w:pPr>
      <w:r>
        <w:rPr>
          <w:sz w:val="24"/>
        </w:rPr>
        <w:drawing>
          <wp:inline>
            <wp:extent cx="3032760" cy="1516126"/>
            <wp:docPr hidden="false" id="18" name="Picture 18"/>
            <a:graphic>
              <a:graphicData uri="http://schemas.openxmlformats.org/drawingml/2006/picture">
                <pic:pic>
                  <pic:nvPicPr>
                    <pic:cNvPr hidden="false" id="17" name="Picture 17"/>
                    <pic:cNvPicPr preferRelativeResize="true"/>
                  </pic:nvPicPr>
                  <pic:blipFill>
                    <a:blip r:embed="rId9"/>
                    <a:srcRect b="72192" l="0" r="0" t="0"/>
                    <a:stretch/>
                  </pic:blipFill>
                  <pic:spPr>
                    <a:xfrm flipH="false" flipV="false" rot="0">
                      <a:ext cx="3032760" cy="1516126"/>
                    </a:xfrm>
                    <a:prstGeom prst="rect"/>
                  </pic:spPr>
                </pic:pic>
              </a:graphicData>
            </a:graphic>
          </wp:inline>
        </w:drawing>
      </w:r>
    </w:p>
    <w:p w14:paraId="D1000000">
      <w:pPr>
        <w:ind w:firstLine="0" w:left="400"/>
        <w:jc w:val="center"/>
        <w:rPr>
          <w:sz w:val="24"/>
        </w:rPr>
      </w:pPr>
      <w:r>
        <w:rPr>
          <w:sz w:val="24"/>
        </w:rPr>
        <w:t>Рис.7</w:t>
      </w:r>
    </w:p>
    <w:p w14:paraId="D2000000">
      <w:pPr>
        <w:ind w:firstLine="0" w:left="400"/>
        <w:jc w:val="center"/>
        <w:rPr>
          <w:sz w:val="24"/>
        </w:rPr>
      </w:pPr>
    </w:p>
    <w:p w14:paraId="D3000000">
      <w:pPr>
        <w:ind w:firstLine="0" w:left="400"/>
        <w:jc w:val="both"/>
        <w:rPr>
          <w:sz w:val="24"/>
        </w:rPr>
      </w:pPr>
      <w:r>
        <w:rPr>
          <w:sz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D4000000">
      <w:pPr>
        <w:ind w:firstLine="0" w:left="400"/>
        <w:jc w:val="both"/>
        <w:rPr>
          <w:sz w:val="24"/>
        </w:rPr>
      </w:pPr>
      <w:r>
        <w:rPr>
          <w:sz w:val="24"/>
        </w:rPr>
        <w:t>3.4.3. Размещение консольных вывесок допускается с соблюдением следующих требований:</w:t>
      </w:r>
    </w:p>
    <w:p w14:paraId="D5000000">
      <w:pPr>
        <w:ind w:firstLine="0" w:left="400"/>
        <w:jc w:val="both"/>
        <w:rPr>
          <w:sz w:val="24"/>
        </w:rPr>
      </w:pPr>
      <w:r>
        <w:rPr>
          <w:sz w:val="24"/>
        </w:rPr>
        <w:t>- размеры вывески должны быть не более 500 мм по высоте и 500 мм по ширине;</w:t>
      </w:r>
    </w:p>
    <w:p w14:paraId="D6000000">
      <w:pPr>
        <w:ind w:firstLine="0" w:left="400"/>
        <w:jc w:val="both"/>
        <w:rPr>
          <w:sz w:val="24"/>
        </w:rPr>
      </w:pPr>
      <w:r>
        <w:rPr>
          <w:sz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D7000000">
      <w:pPr>
        <w:ind w:firstLine="0" w:left="400"/>
        <w:jc w:val="both"/>
        <w:rPr>
          <w:sz w:val="24"/>
        </w:rPr>
      </w:pPr>
    </w:p>
    <w:p w14:paraId="D8000000">
      <w:pPr>
        <w:ind w:firstLine="0" w:left="400"/>
        <w:jc w:val="center"/>
        <w:rPr>
          <w:sz w:val="24"/>
        </w:rPr>
      </w:pPr>
      <w:r>
        <w:rPr>
          <w:sz w:val="24"/>
        </w:rPr>
        <w:drawing>
          <wp:inline>
            <wp:extent cx="3962273" cy="775716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3962273" cy="7757160"/>
                    </a:xfrm>
                    <a:prstGeom prst="rect"/>
                  </pic:spPr>
                </pic:pic>
              </a:graphicData>
            </a:graphic>
          </wp:inline>
        </w:drawing>
      </w:r>
    </w:p>
    <w:p w14:paraId="D9000000">
      <w:pPr>
        <w:ind w:firstLine="0" w:left="400"/>
        <w:jc w:val="center"/>
        <w:rPr>
          <w:sz w:val="24"/>
        </w:rPr>
      </w:pPr>
      <w:r>
        <w:rPr>
          <w:sz w:val="24"/>
        </w:rPr>
        <w:t>Рис.8</w:t>
      </w:r>
    </w:p>
    <w:p w14:paraId="DA000000">
      <w:pPr>
        <w:ind w:firstLine="0" w:left="400"/>
        <w:jc w:val="both"/>
        <w:rPr>
          <w:sz w:val="24"/>
        </w:rPr>
      </w:pPr>
      <w:r>
        <w:rPr>
          <w:sz w:val="24"/>
        </w:rPr>
        <w:t>- расстояние между консольными вывесками должно составлять не менее 10 м.</w:t>
      </w:r>
    </w:p>
    <w:p w14:paraId="DB000000">
      <w:pPr>
        <w:ind w:firstLine="0" w:left="400"/>
        <w:jc w:val="both"/>
        <w:rPr>
          <w:sz w:val="24"/>
        </w:rPr>
      </w:pPr>
      <w:r>
        <w:rPr>
          <w:sz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DC000000">
      <w:pPr>
        <w:ind w:firstLine="0" w:left="400"/>
        <w:jc w:val="both"/>
        <w:rPr>
          <w:sz w:val="24"/>
        </w:rPr>
      </w:pPr>
    </w:p>
    <w:p w14:paraId="DD000000">
      <w:pPr>
        <w:ind w:firstLine="0" w:left="400"/>
        <w:jc w:val="both"/>
        <w:rPr>
          <w:sz w:val="24"/>
        </w:rPr>
      </w:pPr>
      <w:r>
        <w:rPr>
          <w:sz w:val="24"/>
        </w:rPr>
        <w:drawing>
          <wp:inline>
            <wp:extent cx="4449953" cy="1600327"/>
            <wp:docPr hidden="false" id="22" name="Picture 22"/>
            <a:graphic>
              <a:graphicData uri="http://schemas.openxmlformats.org/drawingml/2006/picture">
                <pic:pic>
                  <pic:nvPicPr>
                    <pic:cNvPr hidden="false" id="21" name="Picture 21"/>
                    <pic:cNvPicPr preferRelativeResize="true"/>
                  </pic:nvPicPr>
                  <pic:blipFill>
                    <a:blip r:embed="rId11"/>
                    <a:srcRect b="0" l="0" r="0" t="82216"/>
                    <a:stretch/>
                  </pic:blipFill>
                  <pic:spPr>
                    <a:xfrm flipH="false" flipV="false" rot="0">
                      <a:ext cx="4449953" cy="1600327"/>
                    </a:xfrm>
                    <a:prstGeom prst="rect"/>
                  </pic:spPr>
                </pic:pic>
              </a:graphicData>
            </a:graphic>
          </wp:inline>
        </w:drawing>
      </w:r>
    </w:p>
    <w:p w14:paraId="DE000000">
      <w:pPr>
        <w:ind w:firstLine="0" w:left="400"/>
        <w:jc w:val="center"/>
        <w:rPr>
          <w:sz w:val="24"/>
        </w:rPr>
      </w:pPr>
      <w:r>
        <w:rPr>
          <w:sz w:val="24"/>
        </w:rPr>
        <w:t>Рис.9</w:t>
      </w:r>
    </w:p>
    <w:p w14:paraId="DF000000">
      <w:pPr>
        <w:ind w:firstLine="0" w:left="400"/>
        <w:jc w:val="center"/>
        <w:rPr>
          <w:sz w:val="24"/>
        </w:rPr>
      </w:pPr>
    </w:p>
    <w:p w14:paraId="E0000000">
      <w:pPr>
        <w:ind w:firstLine="0" w:left="400"/>
        <w:jc w:val="both"/>
        <w:rPr>
          <w:sz w:val="24"/>
        </w:rPr>
      </w:pPr>
      <w:r>
        <w:rPr>
          <w:sz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E1000000">
      <w:pPr>
        <w:ind w:firstLine="0" w:left="400"/>
        <w:jc w:val="both"/>
        <w:rPr>
          <w:sz w:val="24"/>
        </w:rPr>
      </w:pPr>
    </w:p>
    <w:p w14:paraId="E2000000">
      <w:pPr>
        <w:ind w:firstLine="0" w:left="400"/>
        <w:jc w:val="both"/>
        <w:rPr>
          <w:sz w:val="24"/>
        </w:rPr>
      </w:pPr>
      <w:r>
        <w:rPr>
          <w:sz w:val="24"/>
        </w:rPr>
        <w:drawing>
          <wp:inline>
            <wp:extent cx="4000500" cy="8610727"/>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0">
                      <a:ext cx="4000500" cy="8610727"/>
                    </a:xfrm>
                    <a:prstGeom prst="rect"/>
                  </pic:spPr>
                </pic:pic>
              </a:graphicData>
            </a:graphic>
          </wp:inline>
        </w:drawing>
      </w:r>
    </w:p>
    <w:p w14:paraId="E3000000">
      <w:pPr>
        <w:ind w:firstLine="0" w:left="400"/>
        <w:jc w:val="center"/>
        <w:rPr>
          <w:sz w:val="24"/>
        </w:rPr>
      </w:pPr>
      <w:r>
        <w:rPr>
          <w:sz w:val="24"/>
        </w:rPr>
        <w:t>Рис.10</w:t>
      </w:r>
    </w:p>
    <w:p w14:paraId="E4000000">
      <w:pPr>
        <w:ind w:firstLine="0" w:left="400"/>
        <w:rPr>
          <w:sz w:val="24"/>
        </w:rPr>
      </w:pPr>
    </w:p>
    <w:p w14:paraId="E5000000">
      <w:pPr>
        <w:ind w:firstLine="0" w:left="400"/>
        <w:rPr>
          <w:sz w:val="24"/>
        </w:rPr>
      </w:pPr>
    </w:p>
    <w:p w14:paraId="E6000000">
      <w:pPr>
        <w:ind w:firstLine="0" w:left="400"/>
        <w:jc w:val="both"/>
        <w:rPr>
          <w:b w:val="1"/>
          <w:sz w:val="24"/>
        </w:rPr>
      </w:pPr>
      <w:r>
        <w:rPr>
          <w:b w:val="1"/>
          <w:sz w:val="24"/>
        </w:rPr>
        <w:t>3.5. Требования к витринным вывескам.</w:t>
      </w:r>
    </w:p>
    <w:p w14:paraId="E7000000">
      <w:pPr>
        <w:ind w:firstLine="0" w:left="400"/>
        <w:jc w:val="both"/>
        <w:rPr>
          <w:sz w:val="24"/>
        </w:rPr>
      </w:pPr>
      <w:r>
        <w:rPr>
          <w:sz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E8000000">
      <w:pPr>
        <w:ind w:firstLine="0" w:left="400"/>
        <w:jc w:val="both"/>
        <w:rPr>
          <w:sz w:val="24"/>
        </w:rPr>
      </w:pPr>
      <w:r>
        <w:rPr>
          <w:sz w:val="24"/>
        </w:rPr>
        <w:t>3.5.2. Витринные вывески размещаются в соответствии со следующими требованиями:</w:t>
      </w:r>
    </w:p>
    <w:p w14:paraId="E9000000">
      <w:pPr>
        <w:ind w:firstLine="0" w:left="400"/>
        <w:jc w:val="both"/>
        <w:rPr>
          <w:sz w:val="24"/>
        </w:rPr>
      </w:pPr>
      <w:r>
        <w:rPr>
          <w:sz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EA000000">
      <w:pPr>
        <w:ind w:firstLine="0" w:left="400"/>
        <w:jc w:val="both"/>
        <w:rPr>
          <w:sz w:val="24"/>
        </w:rPr>
      </w:pPr>
    </w:p>
    <w:p w14:paraId="EB000000">
      <w:pPr>
        <w:ind w:firstLine="0" w:left="400"/>
        <w:jc w:val="both"/>
        <w:rPr>
          <w:sz w:val="24"/>
        </w:rPr>
      </w:pPr>
      <w:r>
        <w:rPr>
          <w:sz w:val="24"/>
        </w:rPr>
        <w:drawing>
          <wp:inline>
            <wp:extent cx="4655820" cy="1798193"/>
            <wp:docPr hidden="false" id="26" name="Picture 26"/>
            <a:graphic>
              <a:graphicData uri="http://schemas.openxmlformats.org/drawingml/2006/picture">
                <pic:pic>
                  <pic:nvPicPr>
                    <pic:cNvPr hidden="false" id="25" name="Picture 25"/>
                    <pic:cNvPicPr preferRelativeResize="true"/>
                  </pic:nvPicPr>
                  <pic:blipFill>
                    <a:blip r:embed="rId13"/>
                    <a:srcRect b="64854" l="0" r="0" t="0"/>
                    <a:stretch/>
                  </pic:blipFill>
                  <pic:spPr>
                    <a:xfrm flipH="false" flipV="false" rot="0">
                      <a:ext cx="4655820" cy="1798193"/>
                    </a:xfrm>
                    <a:prstGeom prst="rect"/>
                  </pic:spPr>
                </pic:pic>
              </a:graphicData>
            </a:graphic>
          </wp:inline>
        </w:drawing>
      </w:r>
    </w:p>
    <w:p w14:paraId="EC000000">
      <w:pPr>
        <w:ind w:firstLine="0" w:left="400"/>
        <w:jc w:val="both"/>
        <w:rPr>
          <w:sz w:val="24"/>
        </w:rPr>
      </w:pPr>
      <w:r>
        <w:rPr>
          <w:sz w:val="24"/>
        </w:rPr>
        <w:drawing>
          <wp:inline>
            <wp:extent cx="4983480" cy="1882013"/>
            <wp:docPr hidden="false" id="28" name="Picture 28"/>
            <a:graphic>
              <a:graphicData uri="http://schemas.openxmlformats.org/drawingml/2006/picture">
                <pic:pic>
                  <pic:nvPicPr>
                    <pic:cNvPr hidden="false" id="27" name="Picture 27"/>
                    <pic:cNvPicPr preferRelativeResize="true"/>
                  </pic:nvPicPr>
                  <pic:blipFill>
                    <a:blip r:embed="rId14"/>
                    <a:srcRect b="2583" l="0" r="0" t="58267"/>
                    <a:stretch/>
                  </pic:blipFill>
                  <pic:spPr>
                    <a:xfrm flipH="false" flipV="false" rot="0">
                      <a:ext cx="4983480" cy="1882013"/>
                    </a:xfrm>
                    <a:prstGeom prst="rect"/>
                  </pic:spPr>
                </pic:pic>
              </a:graphicData>
            </a:graphic>
          </wp:inline>
        </w:drawing>
      </w:r>
    </w:p>
    <w:p w14:paraId="ED000000">
      <w:pPr>
        <w:ind w:firstLine="0" w:left="400"/>
        <w:jc w:val="center"/>
        <w:rPr>
          <w:sz w:val="24"/>
        </w:rPr>
      </w:pPr>
      <w:r>
        <w:rPr>
          <w:sz w:val="24"/>
        </w:rPr>
        <w:t>Рис. 11</w:t>
      </w:r>
    </w:p>
    <w:p w14:paraId="EE000000">
      <w:pPr>
        <w:ind w:firstLine="0" w:left="400"/>
        <w:jc w:val="center"/>
        <w:rPr>
          <w:sz w:val="24"/>
        </w:rPr>
      </w:pPr>
    </w:p>
    <w:p w14:paraId="EF000000">
      <w:pPr>
        <w:ind w:firstLine="0" w:left="400"/>
        <w:jc w:val="both"/>
        <w:rPr>
          <w:b w:val="1"/>
          <w:sz w:val="24"/>
        </w:rPr>
      </w:pPr>
      <w:r>
        <w:rPr>
          <w:b w:val="1"/>
          <w:sz w:val="24"/>
        </w:rPr>
        <w:t>3.6. Требования к крышным вывескам.</w:t>
      </w:r>
    </w:p>
    <w:p w14:paraId="F0000000">
      <w:pPr>
        <w:ind w:firstLine="0" w:left="400"/>
        <w:jc w:val="both"/>
        <w:rPr>
          <w:sz w:val="24"/>
        </w:rPr>
      </w:pPr>
      <w:r>
        <w:rPr>
          <w:sz w:val="24"/>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F1000000">
      <w:pPr>
        <w:ind w:firstLine="0" w:left="400"/>
        <w:jc w:val="both"/>
        <w:rPr>
          <w:sz w:val="24"/>
        </w:rPr>
      </w:pPr>
      <w:r>
        <w:rPr>
          <w:sz w:val="24"/>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F2000000">
      <w:pPr>
        <w:ind w:firstLine="0" w:left="400"/>
        <w:jc w:val="both"/>
        <w:rPr>
          <w:sz w:val="24"/>
        </w:rPr>
      </w:pPr>
      <w:r>
        <w:rPr>
          <w:sz w:val="24"/>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F3000000">
      <w:pPr>
        <w:ind w:firstLine="0" w:left="400"/>
        <w:jc w:val="both"/>
        <w:rPr>
          <w:sz w:val="24"/>
        </w:rPr>
      </w:pPr>
      <w:r>
        <w:rPr>
          <w:sz w:val="24"/>
        </w:rPr>
        <w:t>3.6.4. На одном здании может быть размещена только одна крышная вывеска.</w:t>
      </w:r>
    </w:p>
    <w:p w14:paraId="F4000000">
      <w:pPr>
        <w:ind w:firstLine="0" w:left="400"/>
        <w:jc w:val="both"/>
        <w:rPr>
          <w:sz w:val="24"/>
        </w:rPr>
      </w:pPr>
      <w:r>
        <w:rPr>
          <w:sz w:val="24"/>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F5000000">
      <w:pPr>
        <w:ind w:firstLine="0" w:left="400"/>
        <w:jc w:val="both"/>
        <w:rPr>
          <w:sz w:val="24"/>
        </w:rPr>
      </w:pPr>
      <w:r>
        <w:rPr>
          <w:sz w:val="24"/>
        </w:rPr>
        <w:t>3.6.6. Крышные вывески должны соответствовать следующим требованиям:</w:t>
      </w:r>
    </w:p>
    <w:p w14:paraId="F6000000">
      <w:pPr>
        <w:ind w:firstLine="0" w:left="400"/>
        <w:jc w:val="both"/>
        <w:rPr>
          <w:sz w:val="24"/>
        </w:rPr>
      </w:pPr>
      <w:r>
        <w:rPr>
          <w:sz w:val="24"/>
        </w:rPr>
        <w:t>- высота крышной вывески (рассчитывается от точки крепления к крыше до верхнег</w:t>
      </w:r>
      <w:r>
        <w:rPr>
          <w:sz w:val="24"/>
        </w:rPr>
        <w:t xml:space="preserve">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F7000000">
      <w:pPr>
        <w:ind w:firstLine="0" w:left="400"/>
        <w:jc w:val="both"/>
        <w:rPr>
          <w:sz w:val="24"/>
        </w:rPr>
      </w:pPr>
      <w:r>
        <w:rPr>
          <w:sz w:val="24"/>
        </w:rPr>
        <w:t>- 0,8 м для 1−2 — этажных объектов;</w:t>
      </w:r>
    </w:p>
    <w:p w14:paraId="F8000000">
      <w:pPr>
        <w:ind w:firstLine="0" w:left="400"/>
        <w:jc w:val="both"/>
        <w:rPr>
          <w:sz w:val="24"/>
        </w:rPr>
      </w:pPr>
      <w:r>
        <w:rPr>
          <w:sz w:val="24"/>
        </w:rPr>
        <w:t>- 1,2 м для 1−2 — этажных объектов высотой более 8 м;</w:t>
      </w:r>
    </w:p>
    <w:p w14:paraId="F9000000">
      <w:pPr>
        <w:ind w:firstLine="0" w:left="400"/>
        <w:jc w:val="both"/>
        <w:rPr>
          <w:sz w:val="24"/>
        </w:rPr>
      </w:pPr>
      <w:r>
        <w:rPr>
          <w:sz w:val="24"/>
        </w:rPr>
        <w:t>- 1,2 м для 3−5 — этажных объектов</w:t>
      </w:r>
    </w:p>
    <w:p w14:paraId="FA000000">
      <w:pPr>
        <w:ind w:firstLine="0" w:left="400"/>
        <w:jc w:val="both"/>
        <w:rPr>
          <w:sz w:val="24"/>
        </w:rPr>
      </w:pPr>
      <w:r>
        <w:rPr>
          <w:sz w:val="24"/>
        </w:rPr>
        <w:t>- 1,8 м для 6−9 — этажных объектов;</w:t>
      </w:r>
    </w:p>
    <w:p w14:paraId="FB000000">
      <w:pPr>
        <w:ind w:firstLine="0" w:left="400"/>
        <w:jc w:val="both"/>
        <w:rPr>
          <w:sz w:val="24"/>
        </w:rPr>
      </w:pPr>
      <w:r>
        <w:rPr>
          <w:sz w:val="24"/>
        </w:rPr>
        <w:t>- 2,2 м для 10−15 — этажных объектов;</w:t>
      </w:r>
    </w:p>
    <w:p w14:paraId="FC000000">
      <w:pPr>
        <w:ind w:firstLine="0" w:left="400"/>
        <w:jc w:val="both"/>
        <w:rPr>
          <w:sz w:val="24"/>
        </w:rPr>
      </w:pPr>
      <w:r>
        <w:rPr>
          <w:sz w:val="24"/>
        </w:rPr>
        <w:t>- 3,0 м для объектов, имеющих 16 и более этажей.</w:t>
      </w:r>
    </w:p>
    <w:p w14:paraId="FD000000">
      <w:pPr>
        <w:ind w:firstLine="0" w:left="400"/>
        <w:jc w:val="both"/>
        <w:rPr>
          <w:sz w:val="24"/>
        </w:rPr>
      </w:pPr>
      <w:r>
        <w:rPr>
          <w:sz w:val="24"/>
        </w:rPr>
        <w:t>3.6.7. Элементы крепления крышной вывески не должны выступать</w:t>
      </w:r>
    </w:p>
    <w:p w14:paraId="FE000000">
      <w:pPr>
        <w:ind w:firstLine="0" w:left="400"/>
        <w:jc w:val="both"/>
        <w:rPr>
          <w:sz w:val="24"/>
        </w:rPr>
      </w:pPr>
      <w:r>
        <w:rPr>
          <w:sz w:val="24"/>
        </w:rPr>
        <w:t>за границы информационного поля.</w:t>
      </w:r>
    </w:p>
    <w:p w14:paraId="FF000000">
      <w:pPr>
        <w:ind w:firstLine="0" w:left="400"/>
        <w:jc w:val="both"/>
        <w:rPr>
          <w:sz w:val="24"/>
        </w:rPr>
      </w:pPr>
      <w:r>
        <w:rPr>
          <w:sz w:val="24"/>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00010000">
      <w:pPr>
        <w:ind w:firstLine="0" w:left="400"/>
        <w:jc w:val="both"/>
        <w:rPr>
          <w:sz w:val="24"/>
        </w:rPr>
      </w:pPr>
    </w:p>
    <w:p w14:paraId="01010000">
      <w:pPr>
        <w:ind w:firstLine="0" w:left="400"/>
        <w:jc w:val="both"/>
        <w:rPr>
          <w:sz w:val="24"/>
        </w:rPr>
      </w:pPr>
      <w:r>
        <w:rPr>
          <w:sz w:val="24"/>
        </w:rPr>
        <w:drawing>
          <wp:inline>
            <wp:extent cx="5890260" cy="2148840"/>
            <wp:docPr hidden="false" id="30" name="Picture 30"/>
            <a:graphic>
              <a:graphicData uri="http://schemas.openxmlformats.org/drawingml/2006/picture">
                <pic:pic>
                  <pic:nvPicPr>
                    <pic:cNvPr hidden="false" id="29" name="Picture 29"/>
                    <pic:cNvPicPr preferRelativeResize="true"/>
                  </pic:nvPicPr>
                  <pic:blipFill>
                    <a:blip r:embed="rId15"/>
                    <a:srcRect b="67262" l="0" r="0" t="1634"/>
                    <a:stretch/>
                  </pic:blipFill>
                  <pic:spPr>
                    <a:xfrm flipH="false" flipV="false" rot="0">
                      <a:ext cx="5890260" cy="2148840"/>
                    </a:xfrm>
                    <a:prstGeom prst="rect"/>
                  </pic:spPr>
                </pic:pic>
              </a:graphicData>
            </a:graphic>
          </wp:inline>
        </w:drawing>
      </w:r>
    </w:p>
    <w:p w14:paraId="02010000">
      <w:pPr>
        <w:ind w:firstLine="0" w:left="400"/>
        <w:jc w:val="both"/>
        <w:rPr>
          <w:sz w:val="24"/>
        </w:rPr>
      </w:pPr>
      <w:r>
        <w:rPr>
          <w:sz w:val="24"/>
        </w:rPr>
        <w:drawing>
          <wp:inline>
            <wp:extent cx="5874893" cy="1325880"/>
            <wp:docPr hidden="false" id="32" name="Picture 32"/>
            <a:graphic>
              <a:graphicData uri="http://schemas.openxmlformats.org/drawingml/2006/picture">
                <pic:pic>
                  <pic:nvPicPr>
                    <pic:cNvPr hidden="false" id="31" name="Picture 31"/>
                    <pic:cNvPicPr preferRelativeResize="true"/>
                  </pic:nvPicPr>
                  <pic:blipFill>
                    <a:blip r:embed="rId16"/>
                    <a:srcRect b="0" l="0" r="0" t="77625"/>
                    <a:stretch/>
                  </pic:blipFill>
                  <pic:spPr>
                    <a:xfrm flipH="false" flipV="false" rot="0">
                      <a:ext cx="5874893" cy="1325880"/>
                    </a:xfrm>
                    <a:prstGeom prst="rect"/>
                  </pic:spPr>
                </pic:pic>
              </a:graphicData>
            </a:graphic>
          </wp:inline>
        </w:drawing>
      </w:r>
    </w:p>
    <w:p w14:paraId="03010000">
      <w:pPr>
        <w:ind w:firstLine="0" w:left="400"/>
        <w:jc w:val="center"/>
        <w:rPr>
          <w:sz w:val="24"/>
        </w:rPr>
      </w:pPr>
      <w:r>
        <w:rPr>
          <w:sz w:val="24"/>
        </w:rPr>
        <w:t>Рис.12</w:t>
      </w:r>
    </w:p>
    <w:p w14:paraId="04010000">
      <w:pPr>
        <w:ind w:firstLine="0" w:left="400"/>
        <w:jc w:val="both"/>
        <w:rPr>
          <w:sz w:val="24"/>
        </w:rPr>
      </w:pPr>
      <w:r>
        <w:rPr>
          <w:sz w:val="24"/>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05010000">
      <w:pPr>
        <w:ind w:firstLine="0" w:left="400"/>
        <w:jc w:val="both"/>
        <w:rPr>
          <w:sz w:val="24"/>
        </w:rPr>
      </w:pPr>
      <w:r>
        <w:rPr>
          <w:sz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06010000">
      <w:pPr>
        <w:ind w:firstLine="0" w:left="400"/>
        <w:jc w:val="both"/>
        <w:rPr>
          <w:sz w:val="24"/>
        </w:rPr>
      </w:pPr>
      <w:r>
        <w:rPr>
          <w:sz w:val="24"/>
        </w:rPr>
        <w:drawing>
          <wp:inline>
            <wp:extent cx="5859653" cy="2118360"/>
            <wp:docPr hidden="false" id="34" name="Picture 34"/>
            <a:graphic>
              <a:graphicData uri="http://schemas.openxmlformats.org/drawingml/2006/picture">
                <pic:pic>
                  <pic:nvPicPr>
                    <pic:cNvPr hidden="false" id="33" name="Picture 33"/>
                    <pic:cNvPicPr preferRelativeResize="true"/>
                  </pic:nvPicPr>
                  <pic:blipFill>
                    <a:blip r:embed="rId17"/>
                    <a:srcRect b="33594" l="0" r="0" t="36122"/>
                    <a:stretch/>
                  </pic:blipFill>
                  <pic:spPr>
                    <a:xfrm flipH="false" flipV="false" rot="0">
                      <a:ext cx="5859653" cy="2118360"/>
                    </a:xfrm>
                    <a:prstGeom prst="rect"/>
                  </pic:spPr>
                </pic:pic>
              </a:graphicData>
            </a:graphic>
          </wp:inline>
        </w:drawing>
      </w:r>
    </w:p>
    <w:p w14:paraId="07010000">
      <w:pPr>
        <w:ind w:firstLine="0" w:left="400"/>
        <w:jc w:val="center"/>
        <w:rPr>
          <w:sz w:val="24"/>
        </w:rPr>
      </w:pPr>
      <w:r>
        <w:rPr>
          <w:sz w:val="24"/>
        </w:rPr>
        <w:t>Рис.13</w:t>
      </w:r>
    </w:p>
    <w:p w14:paraId="08010000">
      <w:pPr>
        <w:ind w:firstLine="0" w:left="400"/>
        <w:jc w:val="center"/>
        <w:rPr>
          <w:sz w:val="24"/>
        </w:rPr>
      </w:pPr>
    </w:p>
    <w:p w14:paraId="09010000">
      <w:pPr>
        <w:ind w:firstLine="0" w:left="400"/>
        <w:jc w:val="both"/>
        <w:rPr>
          <w:sz w:val="24"/>
        </w:rPr>
      </w:pPr>
      <w:r>
        <w:rPr>
          <w:sz w:val="24"/>
        </w:rPr>
        <w:t>3.6.11. Не допускается размещать вывеску на коньке кровли крыши.</w:t>
      </w:r>
    </w:p>
    <w:p w14:paraId="0A010000">
      <w:pPr>
        <w:ind w:firstLine="0" w:left="400"/>
        <w:jc w:val="both"/>
        <w:rPr>
          <w:sz w:val="24"/>
        </w:rPr>
      </w:pPr>
      <w:r>
        <w:rPr>
          <w:sz w:val="24"/>
        </w:rPr>
        <w:t>3.6.12. Толщина элементов должна составлять от 7 до 20% высоты текста вывески.</w:t>
      </w:r>
    </w:p>
    <w:p w14:paraId="0B010000">
      <w:pPr>
        <w:ind w:firstLine="0" w:left="400"/>
        <w:jc w:val="both"/>
        <w:rPr>
          <w:sz w:val="24"/>
        </w:rPr>
      </w:pPr>
    </w:p>
    <w:p w14:paraId="0C010000">
      <w:pPr>
        <w:ind w:firstLine="0" w:left="400"/>
        <w:jc w:val="both"/>
        <w:rPr>
          <w:b w:val="1"/>
          <w:sz w:val="24"/>
        </w:rPr>
      </w:pPr>
      <w:r>
        <w:rPr>
          <w:b w:val="1"/>
          <w:sz w:val="24"/>
        </w:rPr>
        <w:t>3.7. Требования к вывескам на маркизах.</w:t>
      </w:r>
    </w:p>
    <w:p w14:paraId="0D010000">
      <w:pPr>
        <w:ind w:firstLine="0" w:left="400"/>
        <w:jc w:val="both"/>
        <w:rPr>
          <w:sz w:val="24"/>
        </w:rPr>
      </w:pPr>
      <w:r>
        <w:rPr>
          <w:sz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0E010000">
      <w:pPr>
        <w:ind w:firstLine="0" w:left="400"/>
        <w:jc w:val="both"/>
        <w:rPr>
          <w:sz w:val="24"/>
        </w:rPr>
      </w:pPr>
      <w:r>
        <w:rPr>
          <w:sz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0F010000">
      <w:pPr>
        <w:ind w:firstLine="0" w:left="400"/>
        <w:jc w:val="both"/>
        <w:rPr>
          <w:sz w:val="24"/>
        </w:rPr>
      </w:pPr>
      <w:r>
        <w:rPr>
          <w:sz w:val="24"/>
        </w:rPr>
        <w:t>- высота изображения товарного знака, знака обслуживания, логотипа, размещаемого на маркизах сезонного кафе, должна быть не более 300 мм;</w:t>
      </w:r>
    </w:p>
    <w:p w14:paraId="10010000">
      <w:pPr>
        <w:ind w:firstLine="0" w:left="400"/>
        <w:jc w:val="both"/>
        <w:rPr>
          <w:sz w:val="24"/>
        </w:rPr>
      </w:pPr>
      <w:r>
        <w:rPr>
          <w:sz w:val="24"/>
        </w:rPr>
        <w:t>- текстовая часть и декоративно-художественные элементы вывески должны быть размещены на единой горизонтальной оси.</w:t>
      </w:r>
    </w:p>
    <w:p w14:paraId="11010000">
      <w:pPr>
        <w:ind w:firstLine="0" w:left="400"/>
        <w:jc w:val="both"/>
        <w:rPr>
          <w:sz w:val="24"/>
        </w:rPr>
      </w:pPr>
    </w:p>
    <w:p w14:paraId="12010000">
      <w:pPr>
        <w:ind w:firstLine="0" w:left="400"/>
        <w:jc w:val="both"/>
        <w:rPr>
          <w:b w:val="1"/>
          <w:sz w:val="24"/>
        </w:rPr>
      </w:pPr>
      <w:r>
        <w:rPr>
          <w:b w:val="1"/>
          <w:sz w:val="24"/>
        </w:rPr>
        <w:t>3.8. Требования к объемно-пространственным информационным конструкциям.</w:t>
      </w:r>
    </w:p>
    <w:p w14:paraId="13010000">
      <w:pPr>
        <w:ind w:firstLine="0" w:left="400"/>
        <w:jc w:val="both"/>
        <w:rPr>
          <w:sz w:val="24"/>
        </w:rPr>
      </w:pPr>
      <w:r>
        <w:rPr>
          <w:sz w:val="24"/>
        </w:rPr>
        <w:t>3.8.1. Объемно-пространственные информационные конструкции не должны размещаться на зданиях, строениях, сооружениях.</w:t>
      </w:r>
    </w:p>
    <w:p w14:paraId="14010000">
      <w:pPr>
        <w:ind w:firstLine="0" w:left="400"/>
        <w:jc w:val="both"/>
        <w:rPr>
          <w:sz w:val="24"/>
        </w:rPr>
      </w:pPr>
      <w:r>
        <w:rPr>
          <w:sz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Pr>
          <w:sz w:val="24"/>
        </w:rPr>
        <w:br w:type="page"/>
      </w:r>
    </w:p>
    <w:p w14:paraId="15010000">
      <w:pPr>
        <w:ind w:firstLine="0" w:left="400"/>
        <w:jc w:val="both"/>
        <w:rPr>
          <w:b w:val="1"/>
          <w:sz w:val="24"/>
        </w:rPr>
      </w:pPr>
      <w:r>
        <w:rPr>
          <w:b w:val="1"/>
          <w:sz w:val="24"/>
        </w:rPr>
        <w:t>2. Стандарт оформления элементов фасадов зданий.</w:t>
      </w:r>
    </w:p>
    <w:p w14:paraId="16010000">
      <w:pPr>
        <w:ind w:firstLine="0" w:left="400"/>
        <w:jc w:val="both"/>
        <w:rPr>
          <w:sz w:val="24"/>
        </w:rPr>
      </w:pPr>
    </w:p>
    <w:p w14:paraId="17010000">
      <w:pPr>
        <w:ind w:firstLine="0" w:left="400"/>
        <w:jc w:val="both"/>
        <w:rPr>
          <w:sz w:val="24"/>
        </w:rPr>
      </w:pPr>
      <w:r>
        <w:rPr>
          <w:sz w:val="24"/>
        </w:rPr>
        <w:t xml:space="preserve">Архитектурные решения 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w:t>
      </w:r>
      <w:r>
        <w:rPr>
          <w:b w:val="1"/>
          <w:sz w:val="24"/>
        </w:rPr>
        <w:t>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r>
        <w:rPr>
          <w:sz w:val="24"/>
        </w:rPr>
        <w:t>.  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18010000">
      <w:pPr>
        <w:ind w:firstLine="0" w:left="400"/>
        <w:jc w:val="both"/>
        <w:rPr>
          <w:sz w:val="24"/>
        </w:rPr>
      </w:pPr>
      <w:r>
        <w:rPr>
          <w:sz w:val="24"/>
        </w:rPr>
        <w:t xml:space="preserve">Паспорт фасадов утверждается нормативным правовым актом администрации поселения (района). </w:t>
      </w:r>
    </w:p>
    <w:p w14:paraId="19010000">
      <w:pPr>
        <w:ind w:firstLine="0" w:left="400"/>
        <w:jc w:val="both"/>
        <w:rPr>
          <w:sz w:val="24"/>
        </w:rPr>
      </w:pPr>
      <w:r>
        <w:rPr>
          <w:sz w:val="24"/>
        </w:rPr>
        <w:t>Разработка такого документа производится:</w:t>
      </w:r>
    </w:p>
    <w:p w14:paraId="1A010000">
      <w:pPr>
        <w:ind w:firstLine="0" w:left="400"/>
        <w:jc w:val="both"/>
        <w:rPr>
          <w:sz w:val="24"/>
        </w:rPr>
      </w:pPr>
      <w:r>
        <w:rPr>
          <w:sz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1B010000">
      <w:pPr>
        <w:ind w:firstLine="0" w:left="400"/>
        <w:jc w:val="both"/>
        <w:rPr>
          <w:sz w:val="24"/>
        </w:rPr>
      </w:pPr>
      <w:r>
        <w:rPr>
          <w:sz w:val="24"/>
        </w:rPr>
        <w:t>- замене облицовочного материала;</w:t>
      </w:r>
    </w:p>
    <w:p w14:paraId="1C010000">
      <w:pPr>
        <w:ind w:firstLine="0" w:left="400"/>
        <w:jc w:val="both"/>
        <w:rPr>
          <w:sz w:val="24"/>
        </w:rPr>
      </w:pPr>
      <w:r>
        <w:rPr>
          <w:sz w:val="24"/>
        </w:rPr>
        <w:t>- покраске фасада (его частей);</w:t>
      </w:r>
    </w:p>
    <w:p w14:paraId="1D010000">
      <w:pPr>
        <w:ind w:firstLine="0" w:left="400"/>
        <w:jc w:val="both"/>
        <w:rPr>
          <w:sz w:val="24"/>
        </w:rPr>
      </w:pPr>
      <w:r>
        <w:rPr>
          <w:sz w:val="24"/>
        </w:rPr>
        <w:t>- изменении материала кровли, элементов безопасности крыши, элементов организованного наружного водостока;</w:t>
      </w:r>
    </w:p>
    <w:p w14:paraId="1E010000">
      <w:pPr>
        <w:ind w:firstLine="0" w:left="400"/>
        <w:jc w:val="both"/>
        <w:rPr>
          <w:sz w:val="24"/>
        </w:rPr>
      </w:pPr>
      <w:r>
        <w:rPr>
          <w:sz w:val="24"/>
        </w:rPr>
        <w:t>- установке кондиционеров;</w:t>
      </w:r>
    </w:p>
    <w:p w14:paraId="1F010000">
      <w:pPr>
        <w:ind w:firstLine="0" w:left="400"/>
        <w:jc w:val="both"/>
        <w:rPr>
          <w:sz w:val="24"/>
        </w:rPr>
      </w:pPr>
      <w:r>
        <w:rPr>
          <w:sz w:val="24"/>
        </w:rPr>
        <w:t>- размещении НТО, в том числе совмещенных с остановкой общественного транспорта;</w:t>
      </w:r>
    </w:p>
    <w:p w14:paraId="20010000">
      <w:pPr>
        <w:ind w:firstLine="0" w:left="400"/>
        <w:jc w:val="both"/>
        <w:rPr>
          <w:sz w:val="24"/>
        </w:rPr>
      </w:pPr>
      <w:r>
        <w:rPr>
          <w:sz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21010000">
      <w:pPr>
        <w:ind w:firstLine="0" w:left="400"/>
        <w:jc w:val="both"/>
        <w:rPr>
          <w:sz w:val="24"/>
        </w:rPr>
      </w:pPr>
      <w:r>
        <w:rPr>
          <w:sz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22010000">
      <w:pPr>
        <w:ind w:firstLine="0" w:left="400"/>
        <w:jc w:val="both"/>
        <w:rPr>
          <w:sz w:val="24"/>
        </w:rPr>
      </w:pPr>
      <w:r>
        <w:rPr>
          <w:sz w:val="24"/>
        </w:rPr>
        <w:t>3. К объектам, на которые необходимо утверждение Паспорта фасадов при их размещении, капитальном или текущем ремонте относятся:</w:t>
      </w:r>
    </w:p>
    <w:p w14:paraId="23010000">
      <w:pPr>
        <w:ind w:firstLine="0" w:left="400"/>
        <w:jc w:val="both"/>
        <w:rPr>
          <w:sz w:val="24"/>
        </w:rPr>
      </w:pPr>
      <w:r>
        <w:rPr>
          <w:sz w:val="24"/>
        </w:rPr>
        <w:t>- здания,</w:t>
      </w:r>
    </w:p>
    <w:p w14:paraId="24010000">
      <w:pPr>
        <w:ind w:firstLine="0" w:left="400"/>
        <w:jc w:val="both"/>
        <w:rPr>
          <w:sz w:val="24"/>
        </w:rPr>
      </w:pPr>
      <w:r>
        <w:rPr>
          <w:sz w:val="24"/>
        </w:rPr>
        <w:t>- строения,</w:t>
      </w:r>
    </w:p>
    <w:p w14:paraId="25010000">
      <w:pPr>
        <w:ind w:firstLine="0" w:left="400"/>
        <w:jc w:val="both"/>
        <w:rPr>
          <w:sz w:val="24"/>
        </w:rPr>
      </w:pPr>
      <w:r>
        <w:rPr>
          <w:sz w:val="24"/>
        </w:rPr>
        <w:t>- сооружения,</w:t>
      </w:r>
    </w:p>
    <w:p w14:paraId="26010000">
      <w:pPr>
        <w:ind w:firstLine="0" w:left="400"/>
        <w:jc w:val="both"/>
        <w:rPr>
          <w:sz w:val="24"/>
        </w:rPr>
      </w:pPr>
      <w:r>
        <w:rPr>
          <w:sz w:val="24"/>
        </w:rPr>
        <w:t>- НТО, в том числе совмещенные с остановкой общественного транспорта.</w:t>
      </w:r>
    </w:p>
    <w:p w14:paraId="27010000">
      <w:pPr>
        <w:ind w:firstLine="0" w:left="400"/>
        <w:jc w:val="both"/>
        <w:rPr>
          <w:sz w:val="24"/>
        </w:rPr>
      </w:pPr>
      <w:r>
        <w:rPr>
          <w:sz w:val="24"/>
        </w:rPr>
        <w:t>4. При подготовке паспорта фасада объекта необходимо учитывать правила, перечисленные ниже.</w:t>
      </w:r>
    </w:p>
    <w:p w14:paraId="28010000">
      <w:pPr>
        <w:ind w:firstLine="0" w:left="400"/>
        <w:jc w:val="both"/>
        <w:rPr>
          <w:sz w:val="24"/>
        </w:rPr>
      </w:pPr>
      <w:r>
        <w:rPr>
          <w:sz w:val="24"/>
        </w:rPr>
        <w:t>4.1. Стены.</w:t>
      </w:r>
    </w:p>
    <w:p w14:paraId="29010000">
      <w:pPr>
        <w:ind w:firstLine="0" w:left="400"/>
        <w:jc w:val="both"/>
        <w:rPr>
          <w:sz w:val="24"/>
        </w:rPr>
      </w:pPr>
      <w:r>
        <w:rPr>
          <w:sz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2A010000">
      <w:pPr>
        <w:ind w:firstLine="0" w:left="400"/>
        <w:jc w:val="both"/>
        <w:rPr>
          <w:sz w:val="24"/>
        </w:rPr>
      </w:pPr>
      <w:r>
        <w:rPr>
          <w:sz w:val="24"/>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2B010000">
      <w:pPr>
        <w:ind w:firstLine="0" w:left="400"/>
        <w:jc w:val="both"/>
        <w:rPr>
          <w:sz w:val="24"/>
        </w:rPr>
      </w:pPr>
      <w:r>
        <w:rPr>
          <w:sz w:val="24"/>
        </w:rPr>
        <w:t>4.1.3. Запрещается применять для облицовки стен виниловый сайдинг, профнастил, фасадные панели «под натуральный камень».</w:t>
      </w:r>
    </w:p>
    <w:p w14:paraId="2C010000">
      <w:pPr>
        <w:ind w:firstLine="0" w:left="400"/>
        <w:jc w:val="both"/>
        <w:rPr>
          <w:sz w:val="24"/>
        </w:rPr>
      </w:pPr>
      <w:r>
        <w:rPr>
          <w:sz w:val="24"/>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2D010000">
      <w:pPr>
        <w:ind w:firstLine="0" w:left="400"/>
        <w:jc w:val="center"/>
        <w:rPr>
          <w:sz w:val="24"/>
        </w:rPr>
      </w:pPr>
      <w:r>
        <w:rPr>
          <w:sz w:val="24"/>
        </w:rPr>
        <w:drawing>
          <wp:inline>
            <wp:extent cx="4846320" cy="6797040"/>
            <wp:docPr hidden="false" id="36" name="Picture 36"/>
            <a:graphic>
              <a:graphicData uri="http://schemas.openxmlformats.org/drawingml/2006/picture">
                <pic:pic>
                  <pic:nvPicPr>
                    <pic:cNvPr hidden="false" id="35" name="Picture 35"/>
                    <pic:cNvPicPr preferRelativeResize="true"/>
                  </pic:nvPicPr>
                  <pic:blipFill>
                    <a:blip r:embed="rId18"/>
                    <a:srcRect b="0" l="0" r="0" t="0"/>
                    <a:stretch/>
                  </pic:blipFill>
                  <pic:spPr>
                    <a:xfrm flipH="false" flipV="false" rot="0">
                      <a:ext cx="4846320" cy="6797040"/>
                    </a:xfrm>
                    <a:prstGeom prst="rect"/>
                  </pic:spPr>
                </pic:pic>
              </a:graphicData>
            </a:graphic>
          </wp:inline>
        </w:drawing>
      </w:r>
    </w:p>
    <w:p w14:paraId="2E010000">
      <w:pPr>
        <w:ind w:firstLine="0" w:left="400"/>
        <w:jc w:val="center"/>
        <w:rPr>
          <w:sz w:val="24"/>
        </w:rPr>
      </w:pPr>
      <w:r>
        <w:rPr>
          <w:sz w:val="24"/>
        </w:rPr>
        <w:t>Рис. 1</w:t>
      </w:r>
    </w:p>
    <w:p w14:paraId="2F010000">
      <w:pPr>
        <w:ind w:firstLine="0" w:left="400"/>
        <w:jc w:val="both"/>
        <w:rPr>
          <w:sz w:val="24"/>
        </w:rPr>
      </w:pPr>
    </w:p>
    <w:p w14:paraId="30010000">
      <w:pPr>
        <w:ind w:firstLine="0" w:left="400"/>
        <w:jc w:val="both"/>
        <w:rPr>
          <w:sz w:val="24"/>
        </w:rPr>
      </w:pPr>
      <w:r>
        <w:rPr>
          <w:sz w:val="24"/>
        </w:rPr>
        <w:t>4.1.5. Запрещено использование разных архитектурных приемов ограждения входной группы.</w:t>
      </w:r>
    </w:p>
    <w:p w14:paraId="31010000">
      <w:pPr>
        <w:ind w:firstLine="0" w:left="400"/>
        <w:jc w:val="both"/>
        <w:rPr>
          <w:sz w:val="24"/>
        </w:rPr>
      </w:pPr>
      <w:r>
        <w:rPr>
          <w:sz w:val="24"/>
        </w:rPr>
        <w:t>4.2. Козырьки.</w:t>
      </w:r>
    </w:p>
    <w:p w14:paraId="32010000">
      <w:pPr>
        <w:ind w:firstLine="0" w:left="400"/>
        <w:jc w:val="both"/>
        <w:rPr>
          <w:sz w:val="24"/>
        </w:rPr>
      </w:pPr>
      <w:r>
        <w:rPr>
          <w:sz w:val="24"/>
        </w:rPr>
        <w:t>4.2.1. Козырьки над входом выполняются с использованием лаконичных решений.</w:t>
      </w:r>
    </w:p>
    <w:p w14:paraId="33010000">
      <w:pPr>
        <w:ind w:firstLine="0" w:left="400"/>
        <w:jc w:val="both"/>
        <w:rPr>
          <w:sz w:val="24"/>
        </w:rPr>
      </w:pPr>
      <w:r>
        <w:rPr>
          <w:sz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34010000">
      <w:pPr>
        <w:ind w:firstLine="0" w:left="400"/>
        <w:jc w:val="both"/>
        <w:rPr>
          <w:sz w:val="24"/>
        </w:rPr>
      </w:pPr>
      <w:r>
        <w:rPr>
          <w:sz w:val="24"/>
        </w:rPr>
        <w:t>4.3. Ограждения входных групп.</w:t>
      </w:r>
    </w:p>
    <w:p w14:paraId="35010000">
      <w:pPr>
        <w:ind w:firstLine="0" w:left="400"/>
        <w:jc w:val="both"/>
        <w:rPr>
          <w:sz w:val="24"/>
        </w:rPr>
      </w:pPr>
      <w:r>
        <w:rPr>
          <w:sz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36010000">
      <w:pPr>
        <w:ind w:firstLine="0" w:left="400"/>
        <w:jc w:val="both"/>
        <w:rPr>
          <w:sz w:val="24"/>
          <w:highlight w:val="yellow"/>
        </w:rPr>
      </w:pPr>
      <w:r>
        <w:rPr>
          <w:sz w:val="24"/>
        </w:rPr>
        <w:t>4.3.2. Ограждение входной группы необходимо выполнять из нержавеющей стали либо другого металла.Цвет в соответствии с рекомендуемыми колористическими решениями (рис. 2).</w:t>
      </w:r>
    </w:p>
    <w:p w14:paraId="37010000">
      <w:pPr>
        <w:ind w:firstLine="0" w:left="400"/>
        <w:jc w:val="center"/>
        <w:rPr>
          <w:sz w:val="24"/>
          <w:highlight w:val="yellow"/>
        </w:rPr>
      </w:pPr>
      <w:r>
        <w:rPr>
          <w:sz w:val="24"/>
        </w:rPr>
        <w:drawing>
          <wp:inline>
            <wp:extent cx="4488307" cy="2529967"/>
            <wp:docPr hidden="false" id="38" name="Picture 38"/>
            <a:graphic>
              <a:graphicData uri="http://schemas.openxmlformats.org/drawingml/2006/picture">
                <pic:pic>
                  <pic:nvPicPr>
                    <pic:cNvPr hidden="false" id="37" name="Picture 37"/>
                    <pic:cNvPicPr preferRelativeResize="true"/>
                  </pic:nvPicPr>
                  <pic:blipFill>
                    <a:blip r:embed="rId19"/>
                    <a:srcRect b="0" l="0" r="0" t="0"/>
                    <a:stretch/>
                  </pic:blipFill>
                  <pic:spPr>
                    <a:xfrm flipH="false" flipV="false" rot="0">
                      <a:ext cx="4488307" cy="2529967"/>
                    </a:xfrm>
                    <a:prstGeom prst="rect"/>
                  </pic:spPr>
                </pic:pic>
              </a:graphicData>
            </a:graphic>
          </wp:inline>
        </w:drawing>
      </w:r>
    </w:p>
    <w:p w14:paraId="38010000">
      <w:pPr>
        <w:ind w:firstLine="0" w:left="400"/>
        <w:jc w:val="center"/>
        <w:rPr>
          <w:sz w:val="24"/>
        </w:rPr>
      </w:pPr>
      <w:r>
        <w:rPr>
          <w:sz w:val="24"/>
        </w:rPr>
        <w:t>Рис.2</w:t>
      </w:r>
    </w:p>
    <w:p w14:paraId="39010000">
      <w:pPr>
        <w:ind w:firstLine="0" w:left="400"/>
        <w:jc w:val="both"/>
        <w:rPr>
          <w:sz w:val="24"/>
        </w:rPr>
      </w:pPr>
    </w:p>
    <w:p w14:paraId="3A010000">
      <w:pPr>
        <w:ind w:firstLine="0" w:left="400"/>
        <w:jc w:val="both"/>
        <w:rPr>
          <w:sz w:val="24"/>
        </w:rPr>
      </w:pPr>
      <w:r>
        <w:rPr>
          <w:sz w:val="24"/>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3B010000">
      <w:pPr>
        <w:ind w:firstLine="0" w:left="400"/>
        <w:jc w:val="both"/>
        <w:rPr>
          <w:sz w:val="24"/>
        </w:rPr>
      </w:pPr>
      <w:r>
        <w:rPr>
          <w:sz w:val="24"/>
        </w:rPr>
        <w:t>4.4. Цоколь, ступени.</w:t>
      </w:r>
    </w:p>
    <w:p w14:paraId="3C010000">
      <w:pPr>
        <w:ind w:firstLine="0" w:left="400"/>
        <w:jc w:val="both"/>
        <w:rPr>
          <w:sz w:val="24"/>
        </w:rPr>
      </w:pPr>
      <w:r>
        <w:rPr>
          <w:sz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3D010000">
      <w:pPr>
        <w:ind w:firstLine="0" w:left="400"/>
        <w:jc w:val="both"/>
        <w:rPr>
          <w:sz w:val="24"/>
        </w:rPr>
      </w:pPr>
      <w:r>
        <w:rPr>
          <w:sz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3E010000">
      <w:pPr>
        <w:ind w:firstLine="0" w:left="400"/>
        <w:jc w:val="both"/>
        <w:rPr>
          <w:sz w:val="24"/>
        </w:rPr>
      </w:pPr>
      <w:r>
        <w:rPr>
          <w:sz w:val="24"/>
        </w:rPr>
        <w:t>4.4.3. Запрещается использовать тротуарную плитку для облицовки цоколя, ступеней и пандуса.</w:t>
      </w:r>
    </w:p>
    <w:p w14:paraId="3F010000">
      <w:pPr>
        <w:ind w:firstLine="0" w:left="400"/>
        <w:jc w:val="both"/>
        <w:rPr>
          <w:sz w:val="24"/>
        </w:rPr>
      </w:pPr>
      <w:r>
        <w:rPr>
          <w:sz w:val="24"/>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14:paraId="40010000">
      <w:pPr>
        <w:ind w:firstLine="0" w:left="400"/>
        <w:jc w:val="both"/>
        <w:rPr>
          <w:sz w:val="24"/>
        </w:rPr>
      </w:pPr>
      <w:r>
        <w:rPr>
          <w:sz w:val="24"/>
        </w:rPr>
        <w:t>4.5. Балконы и лоджии.</w:t>
      </w:r>
    </w:p>
    <w:p w14:paraId="41010000">
      <w:pPr>
        <w:ind w:firstLine="0" w:left="400"/>
        <w:jc w:val="both"/>
        <w:rPr>
          <w:sz w:val="24"/>
        </w:rPr>
      </w:pPr>
      <w:r>
        <w:rPr>
          <w:sz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42010000">
      <w:pPr>
        <w:ind w:firstLine="0" w:left="400"/>
        <w:jc w:val="both"/>
        <w:rPr>
          <w:sz w:val="24"/>
        </w:rPr>
      </w:pPr>
      <w:r>
        <w:rPr>
          <w:sz w:val="24"/>
        </w:rPr>
        <w:t xml:space="preserve">4.5.2. Запрещается установка металлических профилированных листов, виниловых элементов (сайдинг) на ограждениях балконов, лоджий. </w:t>
      </w:r>
    </w:p>
    <w:p w14:paraId="43010000">
      <w:pPr>
        <w:ind w:firstLine="0" w:left="400"/>
        <w:jc w:val="both"/>
        <w:rPr>
          <w:sz w:val="24"/>
        </w:rPr>
      </w:pPr>
      <w:r>
        <w:rPr>
          <w:sz w:val="24"/>
        </w:rPr>
        <w:t>4.6. Двери.</w:t>
      </w:r>
    </w:p>
    <w:p w14:paraId="44010000">
      <w:pPr>
        <w:ind w:firstLine="0" w:left="400"/>
        <w:jc w:val="both"/>
        <w:rPr>
          <w:sz w:val="24"/>
        </w:rPr>
      </w:pPr>
      <w:r>
        <w:rPr>
          <w:sz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45010000">
      <w:pPr>
        <w:ind w:firstLine="0" w:left="400"/>
        <w:jc w:val="both"/>
        <w:rPr>
          <w:sz w:val="24"/>
        </w:rPr>
      </w:pPr>
      <w:r>
        <w:rPr>
          <w:sz w:val="24"/>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46010000">
      <w:pPr>
        <w:ind w:firstLine="0" w:left="400"/>
        <w:jc w:val="both"/>
        <w:rPr>
          <w:sz w:val="24"/>
        </w:rPr>
      </w:pPr>
      <w:r>
        <w:rPr>
          <w:sz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47010000">
      <w:pPr>
        <w:ind w:firstLine="0" w:left="400"/>
        <w:jc w:val="both"/>
        <w:rPr>
          <w:sz w:val="24"/>
        </w:rPr>
      </w:pPr>
      <w:r>
        <w:rPr>
          <w:sz w:val="24"/>
        </w:rPr>
        <w:t>4.7. Окна.</w:t>
      </w:r>
    </w:p>
    <w:p w14:paraId="48010000">
      <w:pPr>
        <w:ind w:firstLine="0" w:left="400"/>
        <w:jc w:val="both"/>
        <w:rPr>
          <w:sz w:val="24"/>
        </w:rPr>
      </w:pPr>
      <w:r>
        <w:rPr>
          <w:sz w:val="24"/>
        </w:rPr>
        <w:t>4.7.1. Оконные рамы и переплеты в рамках единого здания должны быть выполнены в одном цвете.</w:t>
      </w:r>
    </w:p>
    <w:p w14:paraId="49010000">
      <w:pPr>
        <w:ind w:firstLine="0" w:left="400"/>
        <w:jc w:val="both"/>
        <w:rPr>
          <w:sz w:val="24"/>
        </w:rPr>
      </w:pPr>
      <w:r>
        <w:rPr>
          <w:sz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4A010000">
      <w:pPr>
        <w:ind w:firstLine="0" w:left="400"/>
        <w:jc w:val="both"/>
        <w:rPr>
          <w:sz w:val="24"/>
        </w:rPr>
      </w:pPr>
      <w:r>
        <w:rPr>
          <w:sz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4B010000">
      <w:pPr>
        <w:ind w:firstLine="0" w:left="400"/>
        <w:jc w:val="both"/>
        <w:rPr>
          <w:sz w:val="24"/>
        </w:rPr>
      </w:pPr>
      <w:r>
        <w:rPr>
          <w:sz w:val="24"/>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4C010000">
      <w:pPr>
        <w:ind w:firstLine="0" w:left="400"/>
        <w:jc w:val="both"/>
        <w:rPr>
          <w:sz w:val="24"/>
        </w:rPr>
      </w:pPr>
      <w:r>
        <w:rPr>
          <w:sz w:val="24"/>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4D010000">
      <w:pPr>
        <w:ind w:firstLine="0" w:left="400"/>
        <w:jc w:val="both"/>
        <w:rPr>
          <w:sz w:val="24"/>
        </w:rPr>
      </w:pPr>
      <w:r>
        <w:rPr>
          <w:sz w:val="24"/>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4E010000">
      <w:pPr>
        <w:ind w:firstLine="0" w:left="400"/>
        <w:jc w:val="both"/>
        <w:rPr>
          <w:sz w:val="24"/>
        </w:rPr>
      </w:pPr>
      <w:r>
        <w:rPr>
          <w:sz w:val="24"/>
        </w:rPr>
        <w:t>4.8. Кровля.</w:t>
      </w:r>
    </w:p>
    <w:p w14:paraId="4F010000">
      <w:pPr>
        <w:ind w:firstLine="0" w:left="400"/>
        <w:jc w:val="both"/>
        <w:rPr>
          <w:sz w:val="24"/>
        </w:rPr>
      </w:pPr>
      <w:r>
        <w:rPr>
          <w:sz w:val="24"/>
        </w:rPr>
        <w:t>4.8.1. Для устройства кровли общественных деловых, коммерческих, торговых объектов использование мягкой кровли запрещено.</w:t>
      </w:r>
    </w:p>
    <w:p w14:paraId="50010000">
      <w:pPr>
        <w:ind w:firstLine="0" w:left="400"/>
        <w:jc w:val="both"/>
        <w:rPr>
          <w:sz w:val="24"/>
        </w:rPr>
      </w:pPr>
      <w:r>
        <w:rPr>
          <w:sz w:val="24"/>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14:paraId="51010000">
      <w:pPr>
        <w:ind w:firstLine="0" w:left="400"/>
        <w:jc w:val="both"/>
        <w:rPr>
          <w:sz w:val="24"/>
        </w:rPr>
      </w:pPr>
      <w:r>
        <w:rPr>
          <w:sz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52010000">
      <w:pPr>
        <w:ind w:firstLine="0" w:left="400"/>
        <w:jc w:val="both"/>
        <w:rPr>
          <w:sz w:val="24"/>
        </w:rPr>
      </w:pPr>
      <w:r>
        <w:rPr>
          <w:sz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53010000">
      <w:pPr>
        <w:ind w:firstLine="0" w:left="400"/>
        <w:jc w:val="both"/>
        <w:rPr>
          <w:sz w:val="24"/>
        </w:rPr>
      </w:pPr>
      <w:r>
        <w:rPr>
          <w:sz w:val="24"/>
        </w:rPr>
        <w:t>4.9. Водосточные трубы.</w:t>
      </w:r>
    </w:p>
    <w:p w14:paraId="54010000">
      <w:pPr>
        <w:ind w:firstLine="0" w:left="400"/>
        <w:jc w:val="both"/>
        <w:rPr>
          <w:sz w:val="24"/>
        </w:rPr>
      </w:pPr>
      <w:r>
        <w:rPr>
          <w:sz w:val="24"/>
        </w:rPr>
        <w:t>4.9.1. Водосточные трубы не должны полностью перекрывать архитектурные элементы, нарушать целостность их восприятия.</w:t>
      </w:r>
    </w:p>
    <w:p w14:paraId="55010000">
      <w:pPr>
        <w:ind w:firstLine="0" w:left="400"/>
        <w:jc w:val="both"/>
        <w:rPr>
          <w:sz w:val="24"/>
        </w:rPr>
      </w:pPr>
      <w:r>
        <w:rPr>
          <w:sz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56010000">
      <w:pPr>
        <w:ind w:firstLine="0" w:left="400"/>
        <w:jc w:val="both"/>
        <w:rPr>
          <w:sz w:val="24"/>
        </w:rPr>
      </w:pPr>
      <w:r>
        <w:rPr>
          <w:sz w:val="24"/>
        </w:rPr>
        <w:t>4.10. Маркизы и навесы на окна.</w:t>
      </w:r>
    </w:p>
    <w:p w14:paraId="57010000">
      <w:pPr>
        <w:ind w:firstLine="0" w:left="400"/>
        <w:jc w:val="both"/>
        <w:rPr>
          <w:sz w:val="24"/>
        </w:rPr>
      </w:pPr>
      <w:r>
        <w:rPr>
          <w:sz w:val="24"/>
        </w:rPr>
        <w:t>4.10.1. Маркизы должны размещаться по оси оконных, дверных проемов и в их пределах с выступами не более 0,15 м с каждой стороны проема.</w:t>
      </w:r>
    </w:p>
    <w:p w14:paraId="58010000">
      <w:pPr>
        <w:ind w:firstLine="0" w:left="400"/>
        <w:jc w:val="both"/>
        <w:rPr>
          <w:sz w:val="24"/>
        </w:rPr>
      </w:pPr>
      <w:r>
        <w:rPr>
          <w:sz w:val="24"/>
        </w:rPr>
        <w:t>4.10.2. Высота нижней отметки маркизы должна быть не ниже 2,5 м от уровня тротуара.</w:t>
      </w:r>
    </w:p>
    <w:p w14:paraId="59010000">
      <w:pPr>
        <w:ind w:firstLine="0" w:left="400"/>
        <w:jc w:val="both"/>
        <w:rPr>
          <w:sz w:val="24"/>
        </w:rPr>
      </w:pPr>
      <w:r>
        <w:rPr>
          <w:sz w:val="24"/>
        </w:rPr>
        <w:t>4.10.3. Маркиза не должна перекрывать архитектурные элементы здания.</w:t>
      </w:r>
    </w:p>
    <w:p w14:paraId="5A010000">
      <w:pPr>
        <w:ind w:firstLine="0" w:left="400"/>
        <w:jc w:val="both"/>
        <w:rPr>
          <w:sz w:val="24"/>
        </w:rPr>
      </w:pPr>
      <w:r>
        <w:rPr>
          <w:sz w:val="24"/>
        </w:rPr>
        <w:t>4.10.4. Маркиза не должна перекрывать окна или витрины более чем на 30%.</w:t>
      </w:r>
    </w:p>
    <w:p w14:paraId="5B010000">
      <w:pPr>
        <w:ind w:firstLine="0" w:left="400"/>
        <w:jc w:val="both"/>
        <w:rPr>
          <w:sz w:val="24"/>
        </w:rPr>
      </w:pPr>
      <w:r>
        <w:rPr>
          <w:sz w:val="24"/>
        </w:rPr>
        <w:t>4.10.5. Допускается однотонное или двухцветное цветовое решение маркизы, не диссонирующее с цветовой концепцией фасада.</w:t>
      </w:r>
    </w:p>
    <w:p w14:paraId="5C010000">
      <w:pPr>
        <w:ind w:firstLine="0" w:left="400"/>
        <w:jc w:val="both"/>
        <w:rPr>
          <w:sz w:val="24"/>
        </w:rPr>
      </w:pPr>
      <w:r>
        <w:rPr>
          <w:sz w:val="24"/>
        </w:rPr>
        <w:t>4.10.6. Запрещается использовать в качестве материала для маркиз металл, кортен-сталь, пластик.</w:t>
      </w:r>
    </w:p>
    <w:p w14:paraId="5D010000">
      <w:pPr>
        <w:ind w:firstLine="0" w:left="400"/>
        <w:jc w:val="both"/>
        <w:rPr>
          <w:sz w:val="24"/>
        </w:rPr>
      </w:pPr>
      <w:r>
        <w:rPr>
          <w:sz w:val="24"/>
        </w:rPr>
        <w:t>4.11. Кондиционеры.</w:t>
      </w:r>
    </w:p>
    <w:p w14:paraId="5E010000">
      <w:pPr>
        <w:ind w:firstLine="0" w:left="400"/>
        <w:jc w:val="both"/>
        <w:rPr>
          <w:sz w:val="24"/>
        </w:rPr>
      </w:pPr>
      <w:r>
        <w:rPr>
          <w:sz w:val="24"/>
        </w:rPr>
        <w:t>4.11.1. Наружный блок кондиционера должен быть установлен только в местах, предусмотренных для его размещения:</w:t>
      </w:r>
    </w:p>
    <w:p w14:paraId="5F010000">
      <w:pPr>
        <w:ind w:firstLine="0" w:left="400"/>
        <w:jc w:val="both"/>
        <w:rPr>
          <w:sz w:val="24"/>
        </w:rPr>
      </w:pPr>
      <w:r>
        <w:rPr>
          <w:sz w:val="24"/>
        </w:rPr>
        <w:t>- закрытая решеткой ниша в стене;</w:t>
      </w:r>
    </w:p>
    <w:p w14:paraId="60010000">
      <w:pPr>
        <w:ind w:firstLine="0" w:left="400"/>
        <w:jc w:val="both"/>
        <w:rPr>
          <w:sz w:val="24"/>
        </w:rPr>
      </w:pPr>
      <w:r>
        <w:rPr>
          <w:sz w:val="24"/>
        </w:rPr>
        <w:t>- балкон (на высоте ниже ограждения);</w:t>
      </w:r>
    </w:p>
    <w:p w14:paraId="61010000">
      <w:pPr>
        <w:ind w:firstLine="0" w:left="400"/>
        <w:jc w:val="both"/>
        <w:rPr>
          <w:sz w:val="24"/>
        </w:rPr>
      </w:pPr>
      <w:r>
        <w:rPr>
          <w:sz w:val="24"/>
        </w:rPr>
        <w:t>- декоративные корзины;</w:t>
      </w:r>
    </w:p>
    <w:p w14:paraId="62010000">
      <w:pPr>
        <w:ind w:firstLine="0" w:left="400"/>
        <w:jc w:val="both"/>
        <w:rPr>
          <w:sz w:val="24"/>
        </w:rPr>
      </w:pPr>
      <w:r>
        <w:rPr>
          <w:sz w:val="24"/>
        </w:rPr>
        <w:t>- специально выделенные помещения;</w:t>
      </w:r>
    </w:p>
    <w:p w14:paraId="63010000">
      <w:pPr>
        <w:ind w:firstLine="0" w:left="400"/>
        <w:jc w:val="both"/>
        <w:rPr>
          <w:sz w:val="24"/>
        </w:rPr>
      </w:pPr>
      <w:r>
        <w:rPr>
          <w:sz w:val="24"/>
        </w:rPr>
        <w:t>- простенки межэтажного пояса под окном, закрытые экранами;</w:t>
      </w:r>
    </w:p>
    <w:p w14:paraId="64010000">
      <w:pPr>
        <w:ind w:firstLine="0" w:left="400"/>
        <w:jc w:val="both"/>
        <w:rPr>
          <w:sz w:val="24"/>
        </w:rPr>
      </w:pPr>
      <w:r>
        <w:rPr>
          <w:sz w:val="24"/>
        </w:rPr>
        <w:t>- оконный проем без выхода за плоскость фасада (с использованием декоративных экранов);</w:t>
      </w:r>
    </w:p>
    <w:p w14:paraId="65010000">
      <w:pPr>
        <w:ind w:firstLine="0" w:left="400"/>
        <w:jc w:val="both"/>
        <w:rPr>
          <w:sz w:val="24"/>
        </w:rPr>
      </w:pPr>
      <w:r>
        <w:rPr>
          <w:sz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66010000">
      <w:pPr>
        <w:ind w:firstLine="0" w:left="400"/>
        <w:jc w:val="both"/>
        <w:rPr>
          <w:sz w:val="24"/>
        </w:rPr>
      </w:pPr>
      <w:r>
        <w:rPr>
          <w:sz w:val="24"/>
        </w:rPr>
        <w:t>4.11.2. Наружные блоки кондиционеров на фасадах необходимо размещать с привязкой к единой системе осей по вертикали и горизонтали на фасаде.</w:t>
      </w:r>
    </w:p>
    <w:p w14:paraId="67010000">
      <w:pPr>
        <w:ind w:firstLine="0" w:left="400"/>
        <w:jc w:val="both"/>
        <w:rPr>
          <w:sz w:val="24"/>
        </w:rPr>
      </w:pPr>
      <w:r>
        <w:rPr>
          <w:sz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68010000">
      <w:pPr>
        <w:ind w:firstLine="0" w:left="400"/>
        <w:jc w:val="both"/>
        <w:rPr>
          <w:sz w:val="24"/>
        </w:rPr>
      </w:pPr>
      <w:r>
        <w:rPr>
          <w:sz w:val="24"/>
        </w:rPr>
        <w:t>Экраны и корзины рекомендуется окрашивать в цвет фасада.</w:t>
      </w:r>
    </w:p>
    <w:p w14:paraId="69010000">
      <w:pPr>
        <w:ind w:firstLine="0" w:left="400"/>
        <w:jc w:val="both"/>
        <w:rPr>
          <w:sz w:val="24"/>
        </w:rPr>
      </w:pPr>
      <w:r>
        <w:rPr>
          <w:sz w:val="24"/>
        </w:rPr>
        <w:t>4.11.4. Запрещается размещать:</w:t>
      </w:r>
    </w:p>
    <w:p w14:paraId="6A010000">
      <w:pPr>
        <w:ind w:firstLine="0" w:left="400"/>
        <w:jc w:val="both"/>
        <w:rPr>
          <w:sz w:val="24"/>
        </w:rPr>
      </w:pPr>
      <w:r>
        <w:rPr>
          <w:sz w:val="24"/>
        </w:rPr>
        <w:t>- наружный блок на поверхности стены на отметке ниже 2,5 м от поверхности земли;</w:t>
      </w:r>
    </w:p>
    <w:p w14:paraId="6B010000">
      <w:pPr>
        <w:ind w:firstLine="0" w:left="400"/>
        <w:jc w:val="both"/>
        <w:rPr>
          <w:sz w:val="24"/>
        </w:rPr>
      </w:pPr>
      <w:r>
        <w:rPr>
          <w:sz w:val="24"/>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6C010000">
      <w:pPr>
        <w:ind w:firstLine="0" w:left="400"/>
        <w:jc w:val="both"/>
        <w:rPr>
          <w:sz w:val="24"/>
        </w:rPr>
      </w:pPr>
      <w:r>
        <w:rPr>
          <w:sz w:val="24"/>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6D010000">
      <w:pPr>
        <w:ind w:firstLine="0" w:left="400"/>
        <w:jc w:val="both"/>
        <w:rPr>
          <w:sz w:val="24"/>
        </w:rPr>
      </w:pPr>
      <w:r>
        <w:rPr>
          <w:sz w:val="24"/>
        </w:rPr>
        <w:t>- наружный блок без маскирующего экрана;</w:t>
      </w:r>
    </w:p>
    <w:p w14:paraId="6E010000">
      <w:pPr>
        <w:ind w:firstLine="0" w:left="400"/>
        <w:jc w:val="both"/>
        <w:rPr>
          <w:sz w:val="24"/>
        </w:rPr>
      </w:pPr>
      <w:r>
        <w:rPr>
          <w:sz w:val="24"/>
        </w:rPr>
        <w:t>- трубки для самоточного отвода конденсата на фасад выше отметки 1 м от уровня земли.</w:t>
      </w:r>
    </w:p>
    <w:p w14:paraId="6F010000">
      <w:pPr>
        <w:ind w:firstLine="0" w:left="400"/>
        <w:jc w:val="both"/>
        <w:rPr>
          <w:sz w:val="24"/>
        </w:rPr>
      </w:pPr>
      <w:r>
        <w:rPr>
          <w:sz w:val="24"/>
        </w:rPr>
        <w:t>4.11.5. Сети кондиционера должны быть скрыты. Ввод сетей в здание должен быть организован в габаритах корзины или маскирующего экрана.</w:t>
      </w:r>
    </w:p>
    <w:p w14:paraId="70010000">
      <w:pPr>
        <w:ind w:firstLine="0" w:left="400"/>
        <w:jc w:val="both"/>
        <w:rPr>
          <w:sz w:val="24"/>
        </w:rPr>
      </w:pPr>
      <w:r>
        <w:rPr>
          <w:sz w:val="24"/>
        </w:rPr>
        <w:t>4.12. Дополнительное оборудование фасадов (спутниковые тарелки и антенны, видеокамеры и т. п.)</w:t>
      </w:r>
    </w:p>
    <w:p w14:paraId="71010000">
      <w:pPr>
        <w:ind w:firstLine="0" w:left="400"/>
        <w:jc w:val="both"/>
        <w:rPr>
          <w:sz w:val="24"/>
        </w:rPr>
      </w:pPr>
      <w:r>
        <w:rPr>
          <w:sz w:val="24"/>
        </w:rPr>
        <w:t>Дополнительное оборудование фасадов включает две основные группы наружных элементов: городское и техническое оборудование.</w:t>
      </w:r>
    </w:p>
    <w:p w14:paraId="72010000">
      <w:pPr>
        <w:ind w:firstLine="0" w:left="400"/>
        <w:jc w:val="both"/>
        <w:rPr>
          <w:sz w:val="24"/>
        </w:rPr>
      </w:pPr>
      <w:r>
        <w:rPr>
          <w:sz w:val="24"/>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73010000">
      <w:pPr>
        <w:ind w:firstLine="0" w:left="400"/>
        <w:jc w:val="both"/>
        <w:rPr>
          <w:sz w:val="24"/>
        </w:rPr>
      </w:pPr>
      <w:r>
        <w:rPr>
          <w:sz w:val="24"/>
        </w:rPr>
        <w:t>4.12.1. Допускается установка антенн и кабелей на кровле зданий.</w:t>
      </w:r>
    </w:p>
    <w:p w14:paraId="74010000">
      <w:pPr>
        <w:ind w:firstLine="0" w:left="400"/>
        <w:jc w:val="both"/>
        <w:rPr>
          <w:sz w:val="24"/>
        </w:rPr>
      </w:pPr>
      <w:r>
        <w:rPr>
          <w:sz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75010000">
      <w:pPr>
        <w:ind w:firstLine="0" w:left="400"/>
        <w:jc w:val="both"/>
        <w:rPr>
          <w:sz w:val="24"/>
        </w:rPr>
      </w:pPr>
      <w:r>
        <w:rPr>
          <w:sz w:val="24"/>
        </w:rPr>
        <w:t>4.12.3. Запрещается установка спутниковых тарелок и антенн на куполах, башнях.</w:t>
      </w:r>
    </w:p>
    <w:p w14:paraId="76010000">
      <w:pPr>
        <w:ind w:firstLine="0" w:left="400"/>
        <w:jc w:val="both"/>
        <w:rPr>
          <w:sz w:val="24"/>
        </w:rPr>
      </w:pPr>
      <w:r>
        <w:rPr>
          <w:sz w:val="24"/>
        </w:rPr>
        <w:t>4.12.4. Запрещается установка видеокамер на архитектурных элементах (колоннах, карнизах, фронтонах, порталах, пилястрах), цоколе балконов.</w:t>
      </w:r>
    </w:p>
    <w:p w14:paraId="77010000">
      <w:pPr>
        <w:ind w:firstLine="0" w:left="400"/>
        <w:jc w:val="both"/>
        <w:rPr>
          <w:sz w:val="24"/>
        </w:rPr>
      </w:pPr>
      <w:r>
        <w:rPr>
          <w:sz w:val="24"/>
        </w:rPr>
        <w:t>4.12.5. Необходимо использовать скрытое подведение сетей при установке видеокамер и архитектурной подсветки фасада.</w:t>
      </w:r>
    </w:p>
    <w:p w14:paraId="78010000">
      <w:pPr>
        <w:ind w:firstLine="0" w:left="400"/>
        <w:jc w:val="both"/>
        <w:rPr>
          <w:sz w:val="24"/>
        </w:rPr>
      </w:pPr>
      <w:r>
        <w:rPr>
          <w:sz w:val="24"/>
        </w:rPr>
        <w:t>4.12.6. Кабель-канал, скрывающий провода, должен быть окрашен под цвет фасада.</w:t>
      </w:r>
    </w:p>
    <w:p w14:paraId="79010000">
      <w:pPr>
        <w:ind w:firstLine="0" w:left="400"/>
        <w:jc w:val="both"/>
        <w:rPr>
          <w:sz w:val="24"/>
        </w:rPr>
      </w:pPr>
      <w:r>
        <w:rPr>
          <w:sz w:val="24"/>
        </w:rPr>
        <w:t>4.12.7. Запрещается использовать гофрированные трубы для кабелей.</w:t>
      </w:r>
    </w:p>
    <w:p w14:paraId="7A010000">
      <w:pPr>
        <w:ind w:firstLine="0" w:left="400"/>
        <w:jc w:val="both"/>
        <w:rPr>
          <w:sz w:val="24"/>
        </w:rPr>
      </w:pPr>
      <w:r>
        <w:rPr>
          <w:sz w:val="24"/>
        </w:rPr>
        <w:t>4.12.8. Допускается ортогональная прокладка сетей на фасаде.</w:t>
      </w:r>
    </w:p>
    <w:p w14:paraId="7B010000">
      <w:pPr>
        <w:ind w:firstLine="0" w:left="400"/>
        <w:jc w:val="both"/>
        <w:rPr>
          <w:sz w:val="24"/>
        </w:rPr>
      </w:pPr>
      <w:r>
        <w:rPr>
          <w:sz w:val="24"/>
        </w:rPr>
        <w:t>4.13. Архитектурно-художественное оформление (мурал).</w:t>
      </w:r>
    </w:p>
    <w:p w14:paraId="7C010000">
      <w:pPr>
        <w:ind w:firstLine="0" w:left="400"/>
        <w:jc w:val="both"/>
        <w:rPr>
          <w:sz w:val="24"/>
        </w:rPr>
      </w:pPr>
      <w:r>
        <w:rPr>
          <w:sz w:val="24"/>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7D010000">
      <w:pPr>
        <w:ind w:firstLine="0" w:left="400"/>
        <w:jc w:val="center"/>
        <w:rPr>
          <w:sz w:val="24"/>
        </w:rPr>
      </w:pPr>
      <w:r>
        <w:rPr>
          <w:sz w:val="24"/>
        </w:rPr>
        <w:drawing>
          <wp:inline>
            <wp:extent cx="2263013" cy="3261359"/>
            <wp:docPr hidden="false" id="40" name="Picture 40"/>
            <a:graphic>
              <a:graphicData uri="http://schemas.openxmlformats.org/drawingml/2006/picture">
                <pic:pic>
                  <pic:nvPicPr>
                    <pic:cNvPr hidden="false" id="39" name="Picture 39"/>
                    <pic:cNvPicPr preferRelativeResize="true"/>
                  </pic:nvPicPr>
                  <pic:blipFill>
                    <a:blip r:embed="rId20"/>
                    <a:srcRect b="0" l="0" r="0" t="0"/>
                    <a:stretch/>
                  </pic:blipFill>
                  <pic:spPr>
                    <a:xfrm flipH="false" flipV="false" rot="0">
                      <a:ext cx="2263013" cy="3261359"/>
                    </a:xfrm>
                    <a:prstGeom prst="rect"/>
                  </pic:spPr>
                </pic:pic>
              </a:graphicData>
            </a:graphic>
          </wp:inline>
        </w:drawing>
      </w:r>
    </w:p>
    <w:p w14:paraId="7E010000">
      <w:pPr>
        <w:ind w:firstLine="0" w:left="400"/>
        <w:jc w:val="center"/>
        <w:rPr>
          <w:sz w:val="24"/>
        </w:rPr>
      </w:pPr>
      <w:r>
        <w:rPr>
          <w:sz w:val="24"/>
        </w:rPr>
        <w:t>Рис.3</w:t>
      </w:r>
    </w:p>
    <w:p w14:paraId="7F010000">
      <w:pPr>
        <w:ind w:firstLine="0" w:left="400"/>
        <w:jc w:val="center"/>
        <w:rPr>
          <w:sz w:val="24"/>
        </w:rPr>
      </w:pPr>
    </w:p>
    <w:p w14:paraId="80010000">
      <w:pPr>
        <w:ind w:firstLine="0" w:left="400"/>
        <w:jc w:val="both"/>
        <w:rPr>
          <w:sz w:val="24"/>
        </w:rPr>
      </w:pPr>
      <w:r>
        <w:rPr>
          <w:sz w:val="24"/>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14:paraId="81010000">
      <w:pPr>
        <w:ind w:firstLine="0" w:left="400"/>
        <w:jc w:val="both"/>
        <w:rPr>
          <w:sz w:val="24"/>
        </w:rPr>
      </w:pPr>
      <w:r>
        <w:rPr>
          <w:sz w:val="24"/>
        </w:rPr>
        <w:t>4.13.3. Запрещено перекрывать муралом декоративные элементы фасада: карнизы, пилястры, молдинги, руст, кронштейны, наличники, розетки и т. п.</w:t>
      </w:r>
    </w:p>
    <w:p w14:paraId="82010000">
      <w:pPr>
        <w:ind w:firstLine="0" w:left="400"/>
        <w:jc w:val="both"/>
        <w:rPr>
          <w:sz w:val="24"/>
        </w:rPr>
      </w:pPr>
      <w:r>
        <w:rPr>
          <w:sz w:val="24"/>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83010000">
      <w:pPr>
        <w:ind w:firstLine="0" w:left="400"/>
        <w:jc w:val="both"/>
        <w:rPr>
          <w:sz w:val="24"/>
        </w:rPr>
      </w:pPr>
      <w:r>
        <w:rPr>
          <w:sz w:val="24"/>
        </w:rPr>
        <w:t>4.14. Архитектурная подсветка зданий.</w:t>
      </w:r>
    </w:p>
    <w:p w14:paraId="84010000">
      <w:pPr>
        <w:ind w:firstLine="0" w:left="400"/>
        <w:jc w:val="both"/>
        <w:rPr>
          <w:sz w:val="24"/>
        </w:rPr>
      </w:pPr>
      <w:r>
        <w:rPr>
          <w:sz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85010000">
      <w:pPr>
        <w:ind w:firstLine="0" w:left="400"/>
        <w:jc w:val="both"/>
        <w:rPr>
          <w:sz w:val="24"/>
        </w:rPr>
      </w:pPr>
      <w:r>
        <w:rPr>
          <w:sz w:val="24"/>
        </w:rPr>
        <w:drawing>
          <wp:inline>
            <wp:extent cx="5852287" cy="2202180"/>
            <wp:docPr hidden="false" id="42" name="Picture 42"/>
            <a:graphic>
              <a:graphicData uri="http://schemas.openxmlformats.org/drawingml/2006/picture">
                <pic:pic>
                  <pic:nvPicPr>
                    <pic:cNvPr hidden="false" id="41" name="Picture 41"/>
                    <pic:cNvPicPr preferRelativeResize="true"/>
                  </pic:nvPicPr>
                  <pic:blipFill>
                    <a:blip r:embed="rId21"/>
                    <a:srcRect b="0" l="0" r="0" t="0"/>
                    <a:stretch/>
                  </pic:blipFill>
                  <pic:spPr>
                    <a:xfrm flipH="false" flipV="false" rot="0">
                      <a:ext cx="5852287" cy="2202180"/>
                    </a:xfrm>
                    <a:prstGeom prst="rect"/>
                  </pic:spPr>
                </pic:pic>
              </a:graphicData>
            </a:graphic>
          </wp:inline>
        </w:drawing>
      </w:r>
    </w:p>
    <w:p w14:paraId="86010000">
      <w:pPr>
        <w:ind w:firstLine="0" w:left="400"/>
        <w:jc w:val="center"/>
        <w:rPr>
          <w:sz w:val="24"/>
        </w:rPr>
      </w:pPr>
      <w:r>
        <w:rPr>
          <w:sz w:val="24"/>
        </w:rPr>
        <w:t>Рис. 4</w:t>
      </w:r>
    </w:p>
    <w:p w14:paraId="87010000">
      <w:pPr>
        <w:ind w:firstLine="0" w:left="400"/>
        <w:jc w:val="both"/>
        <w:rPr>
          <w:sz w:val="24"/>
        </w:rPr>
      </w:pPr>
      <w:r>
        <w:rPr>
          <w:sz w:val="24"/>
        </w:rPr>
        <w:t>4.14.2. Освещенность при полном охвате здания должна учитывать размеры простенков, глубину выступов, ниш, размещение архитектурных элементов.</w:t>
      </w:r>
    </w:p>
    <w:p w14:paraId="88010000">
      <w:pPr>
        <w:ind w:firstLine="0" w:left="400"/>
        <w:jc w:val="both"/>
        <w:rPr>
          <w:sz w:val="24"/>
        </w:rPr>
      </w:pPr>
      <w:r>
        <w:rPr>
          <w:sz w:val="24"/>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89010000">
      <w:pPr>
        <w:ind w:firstLine="0" w:left="400"/>
        <w:jc w:val="both"/>
        <w:rPr>
          <w:sz w:val="24"/>
        </w:rPr>
      </w:pPr>
      <w:r>
        <w:rPr>
          <w:sz w:val="24"/>
        </w:rPr>
        <w:t>5. Паспорт фасадов объекта.</w:t>
      </w:r>
    </w:p>
    <w:p w14:paraId="8A010000">
      <w:pPr>
        <w:ind w:firstLine="0" w:left="400"/>
        <w:jc w:val="both"/>
        <w:rPr>
          <w:sz w:val="24"/>
        </w:rPr>
      </w:pPr>
      <w:r>
        <w:rPr>
          <w:sz w:val="24"/>
        </w:rPr>
        <w:t>5.1. Общие положения</w:t>
      </w:r>
    </w:p>
    <w:p w14:paraId="8B010000">
      <w:pPr>
        <w:ind w:firstLine="0" w:left="400"/>
        <w:jc w:val="both"/>
        <w:rPr>
          <w:sz w:val="24"/>
        </w:rPr>
      </w:pPr>
      <w:r>
        <w:rPr>
          <w:sz w:val="24"/>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8C010000">
      <w:pPr>
        <w:ind w:firstLine="0" w:left="400"/>
        <w:jc w:val="both"/>
        <w:rPr>
          <w:sz w:val="24"/>
        </w:rPr>
      </w:pPr>
      <w:r>
        <w:rPr>
          <w:sz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8D010000">
      <w:pPr>
        <w:ind w:firstLine="0" w:left="400"/>
        <w:jc w:val="both"/>
        <w:rPr>
          <w:sz w:val="24"/>
        </w:rPr>
      </w:pPr>
      <w:r>
        <w:rPr>
          <w:sz w:val="24"/>
        </w:rPr>
        <w:t>- при замене облицовочного материала;</w:t>
      </w:r>
    </w:p>
    <w:p w14:paraId="8E010000">
      <w:pPr>
        <w:ind w:firstLine="0" w:left="400"/>
        <w:jc w:val="both"/>
        <w:rPr>
          <w:sz w:val="24"/>
        </w:rPr>
      </w:pPr>
      <w:r>
        <w:rPr>
          <w:sz w:val="24"/>
        </w:rPr>
        <w:t>- при покраске фасада (его частей);</w:t>
      </w:r>
    </w:p>
    <w:p w14:paraId="8F010000">
      <w:pPr>
        <w:ind w:firstLine="0" w:left="400"/>
        <w:jc w:val="both"/>
        <w:rPr>
          <w:sz w:val="24"/>
        </w:rPr>
      </w:pPr>
      <w:r>
        <w:rPr>
          <w:sz w:val="24"/>
        </w:rPr>
        <w:t>- при изменении материала кровли, элементов безопасности крыши, элементов организованного наружного водостока;</w:t>
      </w:r>
    </w:p>
    <w:p w14:paraId="90010000">
      <w:pPr>
        <w:ind w:firstLine="0" w:left="400"/>
        <w:jc w:val="both"/>
        <w:rPr>
          <w:sz w:val="24"/>
        </w:rPr>
      </w:pPr>
      <w:r>
        <w:rPr>
          <w:sz w:val="24"/>
        </w:rPr>
        <w:t>- при установке кондиционеров;</w:t>
      </w:r>
    </w:p>
    <w:p w14:paraId="91010000">
      <w:pPr>
        <w:ind w:firstLine="0" w:left="400"/>
        <w:jc w:val="both"/>
        <w:rPr>
          <w:sz w:val="24"/>
        </w:rPr>
      </w:pPr>
      <w:r>
        <w:rPr>
          <w:sz w:val="24"/>
        </w:rPr>
        <w:t>- при размещении нестационарных торговых объектов (далее - НТО), в том числе совмещенных с остановкой общественного транспорта;</w:t>
      </w:r>
    </w:p>
    <w:p w14:paraId="92010000">
      <w:pPr>
        <w:ind w:firstLine="0" w:left="400"/>
        <w:jc w:val="both"/>
        <w:rPr>
          <w:sz w:val="24"/>
        </w:rPr>
      </w:pPr>
      <w:r>
        <w:rPr>
          <w:sz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93010000">
      <w:pPr>
        <w:ind w:firstLine="0" w:left="400"/>
        <w:jc w:val="both"/>
        <w:rPr>
          <w:sz w:val="24"/>
        </w:rPr>
      </w:pPr>
      <w:r>
        <w:rPr>
          <w:sz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94010000">
      <w:pPr>
        <w:ind w:firstLine="0" w:left="400"/>
        <w:jc w:val="both"/>
        <w:rPr>
          <w:sz w:val="24"/>
        </w:rPr>
      </w:pPr>
      <w:r>
        <w:rPr>
          <w:sz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95010000">
      <w:pPr>
        <w:ind w:firstLine="0" w:left="400"/>
        <w:jc w:val="both"/>
        <w:rPr>
          <w:sz w:val="24"/>
        </w:rPr>
      </w:pPr>
      <w:r>
        <w:rPr>
          <w:sz w:val="24"/>
        </w:rPr>
        <w:t>5.2. Типовая форма паспорта фасадов объекта</w:t>
      </w:r>
    </w:p>
    <w:p w14:paraId="96010000">
      <w:pPr>
        <w:ind w:firstLine="0" w:left="400"/>
        <w:jc w:val="both"/>
        <w:rPr>
          <w:sz w:val="24"/>
        </w:rPr>
      </w:pPr>
      <w:r>
        <w:rPr>
          <w:sz w:val="24"/>
        </w:rPr>
        <w:t>5.2.1. Титульный лист паспорта фасадов объекта</w:t>
      </w:r>
    </w:p>
    <w:p w14:paraId="97010000">
      <w:pPr>
        <w:ind w:firstLine="0" w:left="400"/>
        <w:jc w:val="both"/>
        <w:rPr>
          <w:sz w:val="24"/>
        </w:rPr>
      </w:pPr>
      <w:r>
        <w:rPr>
          <w:sz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98010000">
      <w:pPr>
        <w:ind w:firstLine="0" w:left="400"/>
        <w:jc w:val="both"/>
        <w:rPr>
          <w:sz w:val="24"/>
        </w:rPr>
      </w:pPr>
      <w:r>
        <w:rPr>
          <w:sz w:val="24"/>
        </w:rPr>
        <w:t>5.2.2. Текстовая часть Паспорта фасадов</w:t>
      </w:r>
    </w:p>
    <w:p w14:paraId="99010000">
      <w:pPr>
        <w:ind w:firstLine="0" w:left="400"/>
        <w:jc w:val="both"/>
        <w:rPr>
          <w:sz w:val="24"/>
        </w:rPr>
      </w:pPr>
      <w:r>
        <w:rPr>
          <w:sz w:val="24"/>
        </w:rPr>
        <w:t>Состав текстовой части Паспорта фасадов:</w:t>
      </w:r>
    </w:p>
    <w:p w14:paraId="9A010000">
      <w:pPr>
        <w:ind w:firstLine="0" w:left="400"/>
        <w:jc w:val="both"/>
        <w:rPr>
          <w:sz w:val="24"/>
        </w:rPr>
      </w:pPr>
      <w:r>
        <w:rPr>
          <w:sz w:val="24"/>
        </w:rPr>
        <w:t>5.2.2.1. Описание высотных характеристик объекта, включая этажность;</w:t>
      </w:r>
    </w:p>
    <w:p w14:paraId="9B010000">
      <w:pPr>
        <w:ind w:firstLine="0" w:left="400"/>
        <w:jc w:val="both"/>
        <w:rPr>
          <w:sz w:val="24"/>
        </w:rPr>
      </w:pPr>
      <w:r>
        <w:rPr>
          <w:sz w:val="24"/>
        </w:rPr>
        <w:t>5.2.2.2. Описание стилевых характеристик объекта, включая год постройки объекта;</w:t>
      </w:r>
    </w:p>
    <w:p w14:paraId="9C010000">
      <w:pPr>
        <w:ind w:firstLine="0" w:left="400"/>
        <w:jc w:val="both"/>
        <w:rPr>
          <w:sz w:val="24"/>
        </w:rPr>
      </w:pPr>
      <w:r>
        <w:rPr>
          <w:sz w:val="24"/>
        </w:rPr>
        <w:t>5.2.2.3. Описание параметров фасада или части фасада объектов (длина, площадь).</w:t>
      </w:r>
    </w:p>
    <w:p w14:paraId="9D010000">
      <w:pPr>
        <w:ind w:firstLine="0" w:left="400"/>
        <w:jc w:val="both"/>
        <w:rPr>
          <w:sz w:val="24"/>
        </w:rPr>
      </w:pPr>
      <w:r>
        <w:rPr>
          <w:sz w:val="24"/>
        </w:rPr>
        <w:t>5.2.3. Графическая часть Паспорта фасадов</w:t>
      </w:r>
    </w:p>
    <w:p w14:paraId="9E010000">
      <w:pPr>
        <w:ind w:firstLine="0" w:left="400"/>
        <w:jc w:val="both"/>
        <w:rPr>
          <w:sz w:val="24"/>
        </w:rPr>
      </w:pPr>
      <w:r>
        <w:rPr>
          <w:sz w:val="24"/>
        </w:rPr>
        <w:t>Состав графической части Паспорта фасадов:</w:t>
      </w:r>
    </w:p>
    <w:p w14:paraId="9F010000">
      <w:pPr>
        <w:ind w:firstLine="0" w:left="400"/>
        <w:jc w:val="both"/>
        <w:rPr>
          <w:sz w:val="24"/>
        </w:rPr>
      </w:pPr>
      <w:r>
        <w:rPr>
          <w:sz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A0010000">
      <w:pPr>
        <w:ind w:firstLine="0" w:left="400"/>
        <w:jc w:val="both"/>
        <w:rPr>
          <w:sz w:val="24"/>
        </w:rPr>
      </w:pPr>
      <w:r>
        <w:rPr>
          <w:sz w:val="24"/>
        </w:rPr>
        <w:t>5.2.3.2. Изображение фасадов объекта или части фасадов объекта (развертка фасадов).</w:t>
      </w:r>
    </w:p>
    <w:p w14:paraId="A1010000">
      <w:pPr>
        <w:ind w:firstLine="0" w:left="400"/>
        <w:jc w:val="both"/>
        <w:rPr>
          <w:sz w:val="24"/>
        </w:rPr>
      </w:pPr>
      <w:r>
        <w:rPr>
          <w:sz w:val="24"/>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A2010000">
      <w:pPr>
        <w:ind w:firstLine="0" w:left="400"/>
        <w:jc w:val="both"/>
        <w:rPr>
          <w:sz w:val="24"/>
        </w:rPr>
      </w:pPr>
      <w:r>
        <w:rPr>
          <w:sz w:val="24"/>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A3010000">
      <w:pPr>
        <w:ind w:firstLine="0" w:left="400"/>
        <w:jc w:val="both"/>
        <w:rPr>
          <w:sz w:val="24"/>
        </w:rPr>
      </w:pPr>
      <w:r>
        <w:rPr>
          <w:sz w:val="24"/>
        </w:rPr>
        <w:t>5.2.3.4. Изображение фасадов объекта (развертка фасадов) с отображением сложившейся застройки.</w:t>
      </w:r>
    </w:p>
    <w:p w14:paraId="A4010000">
      <w:pPr>
        <w:ind w:firstLine="0" w:left="400"/>
        <w:jc w:val="both"/>
        <w:rPr>
          <w:sz w:val="24"/>
        </w:rPr>
      </w:pPr>
      <w:r>
        <w:rPr>
          <w:sz w:val="24"/>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A5010000">
      <w:pPr>
        <w:ind w:firstLine="0" w:left="400"/>
        <w:jc w:val="both"/>
        <w:rPr>
          <w:sz w:val="24"/>
        </w:rPr>
      </w:pPr>
      <w:r>
        <w:rPr>
          <w:sz w:val="24"/>
        </w:rPr>
        <w:t>5.3. Требования к оформлению Паспорта фасадов</w:t>
      </w:r>
    </w:p>
    <w:p w14:paraId="A6010000">
      <w:pPr>
        <w:ind w:firstLine="0" w:left="400"/>
        <w:jc w:val="both"/>
        <w:rPr>
          <w:sz w:val="24"/>
        </w:rPr>
      </w:pPr>
      <w:r>
        <w:rPr>
          <w:sz w:val="24"/>
        </w:rPr>
        <w:t>5.3.1. На бумаге.</w:t>
      </w:r>
    </w:p>
    <w:p w14:paraId="A7010000">
      <w:pPr>
        <w:ind w:firstLine="0" w:left="400"/>
        <w:jc w:val="both"/>
        <w:rPr>
          <w:sz w:val="24"/>
        </w:rPr>
      </w:pPr>
      <w:r>
        <w:rPr>
          <w:sz w:val="24"/>
        </w:rPr>
        <w:t>5.3.1.1. Формат – А4 (А3).</w:t>
      </w:r>
    </w:p>
    <w:p w14:paraId="A8010000">
      <w:pPr>
        <w:ind w:firstLine="0" w:left="400"/>
        <w:jc w:val="both"/>
        <w:rPr>
          <w:sz w:val="24"/>
        </w:rPr>
      </w:pPr>
      <w:r>
        <w:rPr>
          <w:sz w:val="24"/>
        </w:rPr>
        <w:t>5.3.1.2. Шрифт - TimesNewRoman, размер № 14, межстрочный интервал 1.</w:t>
      </w:r>
    </w:p>
    <w:p w14:paraId="A9010000">
      <w:pPr>
        <w:ind w:firstLine="0" w:left="400"/>
        <w:jc w:val="both"/>
        <w:rPr>
          <w:sz w:val="24"/>
        </w:rPr>
      </w:pPr>
      <w:r>
        <w:rPr>
          <w:sz w:val="24"/>
        </w:rPr>
        <w:t>5.3.1.3. Нумерация страниц с учетом титульного листа с соблюдением последовательности разделов, предусмотренных настоящим приложением.</w:t>
      </w:r>
    </w:p>
    <w:p w14:paraId="AA010000">
      <w:pPr>
        <w:ind w:firstLine="0" w:left="400"/>
        <w:jc w:val="both"/>
        <w:rPr>
          <w:sz w:val="24"/>
        </w:rPr>
      </w:pPr>
      <w:r>
        <w:rPr>
          <w:sz w:val="24"/>
        </w:rPr>
        <w:t>5.3.2. В электронном виде.</w:t>
      </w:r>
    </w:p>
    <w:p w14:paraId="AB010000">
      <w:pPr>
        <w:ind w:firstLine="0" w:left="400"/>
        <w:jc w:val="both"/>
        <w:rPr>
          <w:sz w:val="24"/>
        </w:rPr>
      </w:pPr>
      <w:r>
        <w:rPr>
          <w:sz w:val="24"/>
        </w:rPr>
        <w:t>5.3.2.1. Формат .pdf. одним файлом.</w:t>
      </w:r>
    </w:p>
    <w:p w14:paraId="AC010000">
      <w:pPr>
        <w:ind w:firstLine="0" w:left="400"/>
        <w:jc w:val="both"/>
        <w:rPr>
          <w:sz w:val="24"/>
        </w:rPr>
      </w:pPr>
      <w:r>
        <w:rPr>
          <w:sz w:val="24"/>
        </w:rPr>
        <w:t>5.3.2.2. Формат .dwg. одним файлом.</w:t>
      </w:r>
    </w:p>
    <w:p w14:paraId="AD010000">
      <w:pPr>
        <w:ind w:firstLine="0" w:left="400"/>
        <w:jc w:val="both"/>
        <w:rPr>
          <w:sz w:val="24"/>
        </w:rPr>
      </w:pPr>
    </w:p>
    <w:p w14:paraId="AE010000">
      <w:pPr>
        <w:ind w:firstLine="0" w:left="400"/>
        <w:jc w:val="both"/>
        <w:rPr>
          <w:sz w:val="24"/>
        </w:rPr>
      </w:pPr>
      <w:r>
        <w:rPr>
          <w:sz w:val="24"/>
        </w:rPr>
        <w:t>Таблица</w:t>
      </w:r>
    </w:p>
    <w:tbl>
      <w:tblPr>
        <w:tblStyle w:val="Style_1"/>
        <w:tblInd w:type="dxa" w:w="-6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562"/>
        <w:gridCol w:w="4253"/>
        <w:gridCol w:w="1417"/>
        <w:gridCol w:w="993"/>
        <w:gridCol w:w="1417"/>
        <w:gridCol w:w="1276"/>
      </w:tblGrid>
      <w:tr>
        <w:tc>
          <w:tcPr>
            <w:tcW w:type="dxa" w:w="56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10000">
            <w:pPr>
              <w:ind w:firstLine="0" w:left="400"/>
              <w:rPr>
                <w:sz w:val="24"/>
              </w:rPr>
            </w:pPr>
          </w:p>
        </w:tc>
        <w:tc>
          <w:tcPr>
            <w:tcW w:type="dxa" w:w="425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10000">
            <w:pPr>
              <w:ind w:firstLine="0" w:left="400"/>
              <w:rPr>
                <w:sz w:val="24"/>
              </w:rPr>
            </w:pPr>
            <w:r>
              <w:rPr>
                <w:sz w:val="24"/>
              </w:rPr>
              <w:t>Номер фасада в соответствии с ситуационным планом</w:t>
            </w:r>
          </w:p>
        </w:tc>
        <w:tc>
          <w:tcPr>
            <w:tcW w:type="dxa" w:w="5103"/>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10000">
            <w:pPr>
              <w:ind w:firstLine="0" w:left="400"/>
              <w:rPr>
                <w:sz w:val="24"/>
              </w:rPr>
            </w:pPr>
          </w:p>
        </w:tc>
      </w:tr>
      <w:tr>
        <w:tc>
          <w:tcPr>
            <w:tcW w:type="dxa" w:w="56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10000">
            <w:pPr>
              <w:ind w:firstLine="0" w:left="400"/>
              <w:rPr>
                <w:sz w:val="24"/>
              </w:rPr>
            </w:pPr>
            <w:r>
              <w:rPr>
                <w:sz w:val="24"/>
              </w:rPr>
              <w:t>№</w:t>
            </w:r>
          </w:p>
        </w:tc>
        <w:tc>
          <w:tcPr>
            <w:tcW w:type="dxa" w:w="4253"/>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10000">
            <w:pPr>
              <w:ind w:firstLine="0" w:left="400"/>
              <w:rPr>
                <w:sz w:val="24"/>
              </w:rPr>
            </w:pPr>
            <w:r>
              <w:rPr>
                <w:sz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type="dxa" w:w="141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10000">
            <w:pPr>
              <w:ind w:firstLine="0" w:left="400"/>
              <w:jc w:val="center"/>
              <w:rPr>
                <w:sz w:val="24"/>
              </w:rPr>
            </w:pPr>
            <w:r>
              <w:rPr>
                <w:sz w:val="24"/>
              </w:rPr>
              <w:t>Материал</w:t>
            </w:r>
          </w:p>
        </w:tc>
        <w:tc>
          <w:tcPr>
            <w:tcW w:type="dxa" w:w="993"/>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10000">
            <w:pPr>
              <w:ind w:firstLine="0" w:left="400"/>
              <w:jc w:val="center"/>
              <w:rPr>
                <w:sz w:val="24"/>
              </w:rPr>
            </w:pPr>
            <w:r>
              <w:rPr>
                <w:sz w:val="24"/>
              </w:rPr>
              <w:t>Колер</w:t>
            </w:r>
          </w:p>
        </w:tc>
        <w:tc>
          <w:tcPr>
            <w:tcW w:type="dxa" w:w="2693"/>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10000">
            <w:pPr>
              <w:ind w:firstLine="0" w:left="400"/>
              <w:jc w:val="center"/>
              <w:rPr>
                <w:sz w:val="24"/>
              </w:rPr>
            </w:pPr>
            <w:r>
              <w:rPr>
                <w:sz w:val="24"/>
              </w:rPr>
              <w:t>Основные параметры</w:t>
            </w:r>
          </w:p>
        </w:tc>
      </w:tr>
      <w:tr>
        <w:tc>
          <w:tcPr>
            <w:tcW w:type="dxa" w:w="56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25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10000">
            <w:pPr>
              <w:ind w:firstLine="0" w:left="400"/>
              <w:rPr>
                <w:sz w:val="24"/>
              </w:rPr>
            </w:pPr>
            <w:r>
              <w:rPr>
                <w:sz w:val="24"/>
              </w:rPr>
              <w:t>Длина, Высота, Площадь</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10000">
            <w:pPr>
              <w:ind w:firstLine="0" w:left="400"/>
              <w:jc w:val="center"/>
              <w:rPr>
                <w:sz w:val="24"/>
              </w:rPr>
            </w:pPr>
            <w:r>
              <w:rPr>
                <w:sz w:val="24"/>
              </w:rPr>
              <w:t>Количество</w:t>
            </w:r>
          </w:p>
        </w:tc>
      </w:tr>
      <w:tr>
        <w:tc>
          <w:tcPr>
            <w:tcW w:type="dxa" w:w="56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25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10000">
            <w:pPr>
              <w:ind w:firstLine="0" w:left="400"/>
              <w:rPr>
                <w:sz w:val="24"/>
              </w:rPr>
            </w:pPr>
          </w:p>
        </w:tc>
      </w:tr>
      <w:tr>
        <w:tc>
          <w:tcPr>
            <w:tcW w:type="dxa" w:w="56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10000">
            <w:pPr>
              <w:ind w:firstLine="0" w:left="400"/>
              <w:rPr>
                <w:sz w:val="24"/>
              </w:rPr>
            </w:pPr>
            <w:r>
              <w:rPr>
                <w:sz w:val="24"/>
              </w:rPr>
              <w:t>1</w:t>
            </w:r>
          </w:p>
        </w:tc>
        <w:tc>
          <w:tcPr>
            <w:tcW w:type="dxa" w:w="425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10000">
            <w:pPr>
              <w:ind w:firstLine="0" w:left="400" w:right="79"/>
              <w:jc w:val="center"/>
              <w:rPr>
                <w:sz w:val="24"/>
              </w:rPr>
            </w:pPr>
            <w:r>
              <w:rPr>
                <w:sz w:val="24"/>
              </w:rPr>
              <w:t>2</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10000">
            <w:pPr>
              <w:ind w:firstLine="0" w:left="400" w:right="79"/>
              <w:jc w:val="center"/>
              <w:rPr>
                <w:sz w:val="24"/>
              </w:rPr>
            </w:pPr>
            <w:r>
              <w:rPr>
                <w:sz w:val="24"/>
              </w:rPr>
              <w:t>3</w:t>
            </w: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10000">
            <w:pPr>
              <w:ind w:firstLine="0" w:left="400" w:right="79"/>
              <w:jc w:val="center"/>
              <w:rPr>
                <w:sz w:val="24"/>
              </w:rPr>
            </w:pPr>
            <w:r>
              <w:rPr>
                <w:sz w:val="24"/>
              </w:rPr>
              <w:t>4</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010000">
            <w:pPr>
              <w:ind w:firstLine="0" w:left="400" w:right="79"/>
              <w:jc w:val="center"/>
              <w:rPr>
                <w:sz w:val="24"/>
              </w:rPr>
            </w:pPr>
            <w:r>
              <w:rPr>
                <w:sz w:val="24"/>
              </w:rPr>
              <w:t>5</w:t>
            </w: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10000">
            <w:pPr>
              <w:ind w:firstLine="0" w:left="400" w:right="79"/>
              <w:jc w:val="center"/>
              <w:rPr>
                <w:sz w:val="24"/>
              </w:rPr>
            </w:pPr>
            <w:r>
              <w:rPr>
                <w:sz w:val="24"/>
              </w:rPr>
              <w:t>6</w:t>
            </w:r>
          </w:p>
        </w:tc>
      </w:tr>
      <w:tr>
        <w:tc>
          <w:tcPr>
            <w:tcW w:type="dxa" w:w="56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010000">
            <w:pPr>
              <w:ind w:firstLine="0" w:left="400"/>
              <w:rPr>
                <w:sz w:val="24"/>
              </w:rPr>
            </w:pPr>
            <w:r>
              <w:rPr>
                <w:sz w:val="24"/>
              </w:rPr>
              <w:t>1</w:t>
            </w:r>
          </w:p>
        </w:tc>
        <w:tc>
          <w:tcPr>
            <w:tcW w:type="dxa" w:w="425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010000">
            <w:pPr>
              <w:ind w:firstLine="0" w:left="400"/>
              <w:rPr>
                <w:sz w:val="24"/>
              </w:rPr>
            </w:pPr>
            <w:r>
              <w:rPr>
                <w:sz w:val="24"/>
              </w:rPr>
              <w:t>Архитектурные детали и конструктивные элементы фасадов</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010000">
            <w:pPr>
              <w:ind w:firstLine="0" w:left="400"/>
              <w:rPr>
                <w:sz w:val="24"/>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010000">
            <w:pPr>
              <w:ind w:firstLine="0" w:left="400"/>
              <w:rPr>
                <w:sz w:val="24"/>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010000">
            <w:pPr>
              <w:ind w:firstLine="0" w:left="400"/>
              <w:rPr>
                <w:sz w:val="24"/>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10000">
            <w:pPr>
              <w:ind w:firstLine="0" w:left="400"/>
              <w:rPr>
                <w:sz w:val="24"/>
              </w:rPr>
            </w:pPr>
          </w:p>
        </w:tc>
      </w:tr>
      <w:tr>
        <w:tc>
          <w:tcPr>
            <w:tcW w:type="dxa" w:w="56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10000">
            <w:pPr>
              <w:ind w:firstLine="0" w:left="400"/>
              <w:rPr>
                <w:sz w:val="24"/>
              </w:rPr>
            </w:pPr>
            <w:r>
              <w:rPr>
                <w:sz w:val="24"/>
              </w:rPr>
              <w:t>2</w:t>
            </w:r>
          </w:p>
        </w:tc>
        <w:tc>
          <w:tcPr>
            <w:tcW w:type="dxa" w:w="425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10000">
            <w:pPr>
              <w:ind w:firstLine="0" w:left="400"/>
              <w:rPr>
                <w:sz w:val="24"/>
              </w:rPr>
            </w:pPr>
            <w:r>
              <w:rPr>
                <w:sz w:val="24"/>
              </w:rPr>
              <w:t>Элементы декора лицевых фасадов</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10000">
            <w:pPr>
              <w:ind w:firstLine="0" w:left="400"/>
              <w:rPr>
                <w:sz w:val="24"/>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10000">
            <w:pPr>
              <w:ind w:firstLine="0" w:left="400"/>
              <w:rPr>
                <w:sz w:val="24"/>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10000">
            <w:pPr>
              <w:ind w:firstLine="0" w:left="400"/>
              <w:rPr>
                <w:sz w:val="24"/>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10000">
            <w:pPr>
              <w:ind w:firstLine="0" w:left="400"/>
              <w:rPr>
                <w:sz w:val="24"/>
              </w:rPr>
            </w:pPr>
          </w:p>
        </w:tc>
      </w:tr>
      <w:tr>
        <w:tc>
          <w:tcPr>
            <w:tcW w:type="dxa" w:w="56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10000">
            <w:pPr>
              <w:ind w:firstLine="0" w:left="400"/>
              <w:rPr>
                <w:sz w:val="24"/>
              </w:rPr>
            </w:pPr>
            <w:r>
              <w:rPr>
                <w:sz w:val="24"/>
              </w:rPr>
              <w:t>3</w:t>
            </w:r>
          </w:p>
        </w:tc>
        <w:tc>
          <w:tcPr>
            <w:tcW w:type="dxa" w:w="425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10000">
            <w:pPr>
              <w:ind w:firstLine="0" w:left="400"/>
              <w:rPr>
                <w:sz w:val="24"/>
              </w:rPr>
            </w:pPr>
            <w:r>
              <w:rPr>
                <w:sz w:val="24"/>
              </w:rPr>
              <w:t xml:space="preserve">Инженерное и техническое оборудование </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10000">
            <w:pPr>
              <w:ind w:firstLine="0" w:left="400"/>
              <w:rPr>
                <w:sz w:val="24"/>
              </w:rPr>
            </w:pPr>
          </w:p>
        </w:tc>
        <w:tc>
          <w:tcPr>
            <w:tcW w:type="dxa" w:w="99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10000">
            <w:pPr>
              <w:ind w:firstLine="0" w:left="400"/>
              <w:rPr>
                <w:sz w:val="24"/>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10000">
            <w:pPr>
              <w:ind w:firstLine="0" w:left="400"/>
              <w:rPr>
                <w:sz w:val="24"/>
              </w:rPr>
            </w:pPr>
          </w:p>
        </w:tc>
        <w:tc>
          <w:tcPr>
            <w:tcW w:type="dxa" w:w="127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10000">
            <w:pPr>
              <w:ind w:firstLine="0" w:left="400"/>
              <w:rPr>
                <w:sz w:val="24"/>
              </w:rPr>
            </w:pPr>
          </w:p>
        </w:tc>
      </w:tr>
    </w:tbl>
    <w:p w14:paraId="D2010000">
      <w:pPr>
        <w:ind w:firstLine="0" w:left="400"/>
        <w:jc w:val="both"/>
        <w:rPr>
          <w:sz w:val="24"/>
        </w:rPr>
      </w:pPr>
    </w:p>
    <w:p w14:paraId="D3010000">
      <w:pPr>
        <w:ind w:firstLine="0" w:left="400"/>
        <w:jc w:val="both"/>
        <w:rPr>
          <w:sz w:val="24"/>
        </w:rPr>
      </w:pPr>
      <w:r>
        <w:rPr>
          <w:sz w:val="24"/>
        </w:rPr>
        <w:br w:type="page"/>
      </w:r>
    </w:p>
    <w:p w14:paraId="D4010000">
      <w:pPr>
        <w:widowControl w:val="1"/>
        <w:numPr>
          <w:ilvl w:val="0"/>
          <w:numId w:val="2"/>
        </w:numPr>
        <w:ind w:firstLine="0" w:left="400"/>
        <w:jc w:val="both"/>
        <w:rPr>
          <w:b w:val="1"/>
          <w:color w:val="000000"/>
          <w:sz w:val="24"/>
        </w:rPr>
      </w:pPr>
      <w:r>
        <w:rPr>
          <w:b w:val="1"/>
          <w:color w:val="000000"/>
          <w:sz w:val="24"/>
        </w:rPr>
        <w:t>Стандарт оформления навигационных элементов в городской среде. Типовые домовые знаки и требования к их размещению.</w:t>
      </w:r>
    </w:p>
    <w:p w14:paraId="D5010000">
      <w:pPr>
        <w:ind w:firstLine="0" w:left="400"/>
        <w:jc w:val="both"/>
        <w:rPr>
          <w:color w:val="000000"/>
          <w:sz w:val="24"/>
        </w:rPr>
      </w:pPr>
      <w:r>
        <w:rPr>
          <w:color w:val="000000"/>
          <w:sz w:val="24"/>
        </w:rPr>
        <w:t>1.1. Домовой знак (адресная табличка, адресный знак) – указатель, содержащий информацию об адресообразующих элементах объекта:</w:t>
      </w:r>
    </w:p>
    <w:p w14:paraId="D6010000">
      <w:pPr>
        <w:ind w:firstLine="0" w:left="400"/>
        <w:jc w:val="both"/>
        <w:rPr>
          <w:color w:val="000000"/>
          <w:sz w:val="24"/>
        </w:rPr>
      </w:pPr>
      <w:r>
        <w:rPr>
          <w:color w:val="000000"/>
          <w:sz w:val="24"/>
        </w:rPr>
        <w:t>- наименование элемента улично-дорожной сети;</w:t>
      </w:r>
    </w:p>
    <w:p w14:paraId="D7010000">
      <w:pPr>
        <w:ind w:firstLine="0" w:left="400"/>
        <w:jc w:val="both"/>
        <w:rPr>
          <w:color w:val="000000"/>
          <w:sz w:val="24"/>
        </w:rPr>
      </w:pPr>
      <w:r>
        <w:rPr>
          <w:color w:val="000000"/>
          <w:sz w:val="24"/>
        </w:rPr>
        <w:t>- номер здания, сооружения, в том числе строительство которых не завершено, земельного участка</w:t>
      </w:r>
    </w:p>
    <w:p w14:paraId="D8010000">
      <w:pPr>
        <w:ind w:firstLine="0" w:left="400"/>
        <w:jc w:val="both"/>
        <w:rPr>
          <w:color w:val="000000"/>
          <w:sz w:val="24"/>
        </w:rPr>
      </w:pPr>
      <w:r>
        <w:rPr>
          <w:color w:val="000000"/>
          <w:sz w:val="24"/>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D9010000">
      <w:pPr>
        <w:ind w:firstLine="0" w:left="400"/>
        <w:jc w:val="both"/>
        <w:rPr>
          <w:color w:val="000000"/>
          <w:sz w:val="24"/>
        </w:rPr>
      </w:pPr>
      <w:r>
        <w:rPr>
          <w:color w:val="000000"/>
          <w:sz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DA010000">
      <w:pPr>
        <w:ind w:firstLine="0" w:left="400"/>
        <w:jc w:val="both"/>
        <w:rPr>
          <w:color w:val="000000"/>
          <w:sz w:val="24"/>
        </w:rPr>
      </w:pPr>
      <w:r>
        <w:rPr>
          <w:color w:val="000000"/>
          <w:sz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DB010000">
      <w:pPr>
        <w:ind w:firstLine="0" w:left="400"/>
        <w:jc w:val="both"/>
        <w:rPr>
          <w:color w:val="000000"/>
          <w:sz w:val="24"/>
        </w:rPr>
      </w:pPr>
      <w:r>
        <w:rPr>
          <w:color w:val="000000"/>
          <w:sz w:val="24"/>
        </w:rPr>
        <w:t>1.5. Общими требованиями к размещению домовых знаков являются:</w:t>
      </w:r>
    </w:p>
    <w:p w14:paraId="DC010000">
      <w:pPr>
        <w:ind w:firstLine="0" w:left="400"/>
        <w:jc w:val="both"/>
        <w:rPr>
          <w:color w:val="000000"/>
          <w:sz w:val="24"/>
        </w:rPr>
      </w:pPr>
      <w:r>
        <w:rPr>
          <w:color w:val="000000"/>
          <w:sz w:val="24"/>
        </w:rPr>
        <w:t>- унификация мест размещения, соблюдение единых правил размещения;</w:t>
      </w:r>
    </w:p>
    <w:p w14:paraId="DD010000">
      <w:pPr>
        <w:ind w:firstLine="0" w:left="400"/>
        <w:jc w:val="both"/>
        <w:rPr>
          <w:color w:val="000000"/>
          <w:sz w:val="24"/>
        </w:rPr>
      </w:pPr>
      <w:r>
        <w:rPr>
          <w:color w:val="000000"/>
          <w:sz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DE010000">
      <w:pPr>
        <w:ind w:firstLine="0" w:left="400"/>
        <w:jc w:val="both"/>
        <w:rPr>
          <w:color w:val="000000"/>
          <w:sz w:val="24"/>
        </w:rPr>
      </w:pPr>
      <w:r>
        <w:rPr>
          <w:color w:val="000000"/>
          <w:sz w:val="24"/>
        </w:rPr>
        <w:t>1.5.1. Размещение домовых знаков должно отвечать</w:t>
      </w:r>
    </w:p>
    <w:p w14:paraId="DF010000">
      <w:pPr>
        <w:ind w:firstLine="0" w:left="400"/>
        <w:jc w:val="both"/>
        <w:rPr>
          <w:color w:val="000000"/>
          <w:sz w:val="24"/>
        </w:rPr>
      </w:pPr>
      <w:r>
        <w:rPr>
          <w:color w:val="000000"/>
          <w:sz w:val="24"/>
        </w:rPr>
        <w:t>следующим требованиям:</w:t>
      </w:r>
    </w:p>
    <w:p w14:paraId="E0010000">
      <w:pPr>
        <w:ind w:firstLine="0" w:left="400"/>
        <w:jc w:val="both"/>
        <w:rPr>
          <w:color w:val="000000"/>
          <w:sz w:val="24"/>
        </w:rPr>
      </w:pPr>
      <w:r>
        <w:rPr>
          <w:color w:val="000000"/>
          <w:sz w:val="24"/>
        </w:rPr>
        <w:t>- высота от поверхности земли – от 2,5 до 3,5 м (в районах проектируемой застройки – до 5 м);</w:t>
      </w:r>
    </w:p>
    <w:p w14:paraId="E1010000">
      <w:pPr>
        <w:ind w:firstLine="0" w:left="400"/>
        <w:jc w:val="both"/>
        <w:rPr>
          <w:color w:val="000000"/>
          <w:sz w:val="24"/>
        </w:rPr>
      </w:pPr>
      <w:r>
        <w:rPr>
          <w:color w:val="000000"/>
          <w:sz w:val="24"/>
        </w:rPr>
        <w:t>- размещение на участке фасада, свободном от выступающих архитектурных деталей;</w:t>
      </w:r>
    </w:p>
    <w:p w14:paraId="E2010000">
      <w:pPr>
        <w:ind w:firstLine="0" w:left="400"/>
        <w:jc w:val="both"/>
        <w:rPr>
          <w:color w:val="000000"/>
          <w:sz w:val="24"/>
        </w:rPr>
      </w:pPr>
      <w:r>
        <w:rPr>
          <w:color w:val="000000"/>
          <w:sz w:val="24"/>
        </w:rPr>
        <w:t>- привязка к вертикальной оси простенка, архитектурным членениям фасада;</w:t>
      </w:r>
    </w:p>
    <w:p w14:paraId="E3010000">
      <w:pPr>
        <w:ind w:firstLine="0" w:left="400"/>
        <w:jc w:val="both"/>
        <w:rPr>
          <w:color w:val="000000"/>
          <w:sz w:val="24"/>
        </w:rPr>
      </w:pPr>
      <w:r>
        <w:rPr>
          <w:color w:val="000000"/>
          <w:sz w:val="24"/>
        </w:rPr>
        <w:t>- единая вертикальная отметка размещения знаков на соседних фасадах;</w:t>
      </w:r>
    </w:p>
    <w:p w14:paraId="E4010000">
      <w:pPr>
        <w:ind w:firstLine="0" w:left="400"/>
        <w:jc w:val="both"/>
        <w:rPr>
          <w:color w:val="000000"/>
          <w:sz w:val="24"/>
        </w:rPr>
      </w:pPr>
      <w:r>
        <w:rPr>
          <w:color w:val="000000"/>
          <w:sz w:val="24"/>
        </w:rPr>
        <w:t>- отсутствие внешних заслоняющих объектов (деревьев, построек).</w:t>
      </w:r>
    </w:p>
    <w:p w14:paraId="E5010000">
      <w:pPr>
        <w:ind w:firstLine="0" w:left="400"/>
        <w:jc w:val="both"/>
        <w:rPr>
          <w:color w:val="000000"/>
          <w:sz w:val="24"/>
        </w:rPr>
      </w:pPr>
      <w:r>
        <w:rPr>
          <w:color w:val="000000"/>
          <w:sz w:val="24"/>
        </w:rPr>
        <w:t>1.5.2. Домовые знаки должны быть размещены:</w:t>
      </w:r>
    </w:p>
    <w:p w14:paraId="E6010000">
      <w:pPr>
        <w:ind w:firstLine="0" w:left="400"/>
        <w:jc w:val="both"/>
        <w:rPr>
          <w:color w:val="000000"/>
          <w:sz w:val="24"/>
        </w:rPr>
      </w:pPr>
      <w:r>
        <w:rPr>
          <w:color w:val="000000"/>
          <w:sz w:val="24"/>
        </w:rPr>
        <w:t>- на главном фасаде – с правой стороны фасада;</w:t>
      </w:r>
    </w:p>
    <w:p w14:paraId="E7010000">
      <w:pPr>
        <w:ind w:firstLine="0" w:left="400"/>
        <w:jc w:val="both"/>
        <w:rPr>
          <w:color w:val="000000"/>
          <w:sz w:val="24"/>
        </w:rPr>
      </w:pPr>
      <w:r>
        <w:rPr>
          <w:color w:val="000000"/>
          <w:sz w:val="24"/>
        </w:rPr>
        <w:t>- на улицах с односторонним движением транспорта – на стороне фасада, ближней по направлению движения транспорта;</w:t>
      </w:r>
    </w:p>
    <w:p w14:paraId="E8010000">
      <w:pPr>
        <w:ind w:firstLine="0" w:left="400"/>
        <w:jc w:val="both"/>
        <w:rPr>
          <w:color w:val="000000"/>
          <w:sz w:val="24"/>
        </w:rPr>
      </w:pPr>
      <w:r>
        <w:rPr>
          <w:color w:val="000000"/>
          <w:sz w:val="24"/>
        </w:rPr>
        <w:t>- у арки или главного входа – с правой стороны или над проемом;</w:t>
      </w:r>
    </w:p>
    <w:p w14:paraId="E9010000">
      <w:pPr>
        <w:ind w:firstLine="0" w:left="400"/>
        <w:jc w:val="both"/>
        <w:rPr>
          <w:color w:val="000000"/>
          <w:sz w:val="24"/>
        </w:rPr>
      </w:pPr>
      <w:r>
        <w:rPr>
          <w:color w:val="000000"/>
          <w:sz w:val="24"/>
        </w:rPr>
        <w:t>- на дворовых фасадах – на стене со стороны внутриквартального проезда;</w:t>
      </w:r>
    </w:p>
    <w:p w14:paraId="EA010000">
      <w:pPr>
        <w:ind w:firstLine="0" w:left="400"/>
        <w:jc w:val="both"/>
        <w:rPr>
          <w:color w:val="000000"/>
          <w:sz w:val="24"/>
        </w:rPr>
      </w:pPr>
      <w:r>
        <w:rPr>
          <w:color w:val="000000"/>
          <w:sz w:val="24"/>
        </w:rPr>
        <w:t>- при длине фасада более 100 м – на его противоположных сторонах;</w:t>
      </w:r>
    </w:p>
    <w:p w14:paraId="EB010000">
      <w:pPr>
        <w:ind w:firstLine="0" w:left="400"/>
        <w:jc w:val="both"/>
        <w:rPr>
          <w:color w:val="000000"/>
          <w:sz w:val="24"/>
        </w:rPr>
      </w:pPr>
      <w:r>
        <w:rPr>
          <w:color w:val="000000"/>
          <w:sz w:val="24"/>
        </w:rPr>
        <w:t>- на оградах и корпусах промышленных предприятий – справа от главного входа или въезда;</w:t>
      </w:r>
    </w:p>
    <w:p w14:paraId="EC010000">
      <w:pPr>
        <w:ind w:firstLine="0" w:left="400"/>
        <w:jc w:val="both"/>
        <w:rPr>
          <w:color w:val="000000"/>
          <w:sz w:val="24"/>
        </w:rPr>
      </w:pPr>
      <w:r>
        <w:rPr>
          <w:color w:val="000000"/>
          <w:sz w:val="24"/>
        </w:rPr>
        <w:t>- у перекрестка улиц – на угловом фасаде.</w:t>
      </w:r>
    </w:p>
    <w:p w14:paraId="ED010000">
      <w:pPr>
        <w:ind w:firstLine="0" w:left="400"/>
        <w:jc w:val="both"/>
        <w:rPr>
          <w:color w:val="000000"/>
          <w:sz w:val="24"/>
        </w:rPr>
      </w:pPr>
      <w:r>
        <w:rPr>
          <w:color w:val="000000"/>
          <w:sz w:val="24"/>
        </w:rPr>
        <w:t>1.5.3. Не допускается:</w:t>
      </w:r>
    </w:p>
    <w:p w14:paraId="EE010000">
      <w:pPr>
        <w:ind w:firstLine="0" w:left="400"/>
        <w:jc w:val="both"/>
        <w:rPr>
          <w:color w:val="000000"/>
          <w:sz w:val="24"/>
        </w:rPr>
      </w:pPr>
      <w:r>
        <w:rPr>
          <w:color w:val="000000"/>
          <w:sz w:val="24"/>
        </w:rPr>
        <w:t>- размещение рядом с домовым знаком выступающих вывесок, консолей, а также объектов, затрудняющих восприятие знака;</w:t>
      </w:r>
    </w:p>
    <w:p w14:paraId="EF010000">
      <w:pPr>
        <w:ind w:firstLine="0" w:left="400"/>
        <w:jc w:val="both"/>
        <w:rPr>
          <w:color w:val="000000"/>
          <w:sz w:val="24"/>
        </w:rPr>
      </w:pPr>
      <w:r>
        <w:rPr>
          <w:color w:val="000000"/>
          <w:sz w:val="24"/>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F0010000">
      <w:pPr>
        <w:ind w:firstLine="0" w:left="400"/>
        <w:jc w:val="both"/>
        <w:rPr>
          <w:color w:val="000000"/>
          <w:sz w:val="24"/>
        </w:rPr>
      </w:pPr>
      <w:r>
        <w:rPr>
          <w:color w:val="000000"/>
          <w:sz w:val="24"/>
        </w:rPr>
        <w:t>- произвольное перемещение домовых знаков с установленного места.</w:t>
      </w:r>
    </w:p>
    <w:p w14:paraId="F1010000">
      <w:pPr>
        <w:ind w:firstLine="0" w:left="400"/>
        <w:jc w:val="both"/>
        <w:rPr>
          <w:color w:val="000000"/>
          <w:sz w:val="24"/>
        </w:rPr>
      </w:pPr>
      <w:r>
        <w:rPr>
          <w:color w:val="000000"/>
          <w:sz w:val="24"/>
        </w:rPr>
        <w:t>1.5.4. Размеры домового знака:</w:t>
      </w:r>
    </w:p>
    <w:p w14:paraId="F2010000">
      <w:pPr>
        <w:ind w:firstLine="0" w:left="400"/>
        <w:jc w:val="both"/>
        <w:rPr>
          <w:color w:val="000000"/>
          <w:sz w:val="24"/>
        </w:rPr>
      </w:pPr>
      <w:r>
        <w:rPr>
          <w:color w:val="000000"/>
          <w:sz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F3010000">
      <w:pPr>
        <w:ind w:firstLine="0" w:left="400"/>
        <w:jc w:val="both"/>
        <w:rPr>
          <w:color w:val="000000"/>
          <w:sz w:val="24"/>
        </w:rPr>
      </w:pPr>
      <w:r>
        <w:rPr>
          <w:color w:val="000000"/>
          <w:sz w:val="24"/>
        </w:rPr>
        <w:t>- для магистральных улиц и дорог — 1300 мм × 310 мм;</w:t>
      </w:r>
    </w:p>
    <w:p w14:paraId="F4010000">
      <w:pPr>
        <w:ind w:firstLine="0" w:left="400"/>
        <w:jc w:val="both"/>
        <w:rPr>
          <w:color w:val="000000"/>
          <w:sz w:val="24"/>
        </w:rPr>
      </w:pPr>
      <w:r>
        <w:rPr>
          <w:color w:val="000000"/>
          <w:sz w:val="24"/>
        </w:rPr>
        <w:t>- для улиц и дорог местного значения — 700 мм × 310 мм для текстовой части и 310 мм х 310 мм для номера дома.</w:t>
      </w:r>
    </w:p>
    <w:p w14:paraId="F5010000">
      <w:pPr>
        <w:ind w:firstLine="0" w:left="400"/>
        <w:jc w:val="both"/>
        <w:rPr>
          <w:color w:val="000000"/>
          <w:sz w:val="24"/>
        </w:rPr>
      </w:pPr>
      <w:r>
        <w:rPr>
          <w:color w:val="000000"/>
          <w:sz w:val="24"/>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F6010000">
      <w:pPr>
        <w:ind w:firstLine="0" w:left="400"/>
        <w:jc w:val="both"/>
        <w:rPr>
          <w:color w:val="000000"/>
          <w:sz w:val="24"/>
        </w:rPr>
      </w:pPr>
      <w:r>
        <w:rPr>
          <w:color w:val="000000"/>
          <w:sz w:val="24"/>
        </w:rPr>
        <w:t>1.5.6. Домовые знаки должны иметь антивандальное исполнение.</w:t>
      </w:r>
    </w:p>
    <w:p w14:paraId="F7010000">
      <w:pPr>
        <w:ind w:firstLine="0" w:left="400"/>
        <w:jc w:val="both"/>
        <w:rPr>
          <w:color w:val="000000"/>
          <w:sz w:val="24"/>
        </w:rPr>
      </w:pPr>
      <w:r>
        <w:rPr>
          <w:color w:val="000000"/>
          <w:sz w:val="24"/>
        </w:rPr>
        <w:t>1.5.7. Домовые знаки могут оснащаться внутренней подсветкой при наличии технической возможности.</w:t>
      </w:r>
    </w:p>
    <w:p w14:paraId="F8010000">
      <w:pPr>
        <w:ind w:firstLine="0" w:left="400"/>
        <w:jc w:val="both"/>
        <w:rPr>
          <w:color w:val="000000"/>
          <w:sz w:val="24"/>
        </w:rPr>
      </w:pPr>
    </w:p>
    <w:p w14:paraId="F9010000">
      <w:pPr>
        <w:widowControl w:val="1"/>
        <w:numPr>
          <w:ilvl w:val="0"/>
          <w:numId w:val="3"/>
        </w:numPr>
        <w:ind w:firstLine="0" w:left="400"/>
        <w:jc w:val="both"/>
        <w:rPr>
          <w:b w:val="1"/>
          <w:color w:val="000000"/>
          <w:sz w:val="24"/>
        </w:rPr>
      </w:pPr>
      <w:r>
        <w:rPr>
          <w:b w:val="1"/>
          <w:color w:val="000000"/>
          <w:sz w:val="24"/>
        </w:rPr>
        <w:t>Требования к отдельно стоящим информационным стелам, стендам, пилонам.</w:t>
      </w:r>
    </w:p>
    <w:p w14:paraId="FA010000">
      <w:pPr>
        <w:widowControl w:val="1"/>
        <w:numPr>
          <w:ilvl w:val="1"/>
          <w:numId w:val="3"/>
        </w:numPr>
        <w:ind w:firstLine="0" w:left="400"/>
        <w:jc w:val="both"/>
        <w:rPr>
          <w:color w:val="000000"/>
          <w:sz w:val="24"/>
        </w:rPr>
      </w:pPr>
      <w:r>
        <w:rPr>
          <w:color w:val="000000"/>
          <w:sz w:val="24"/>
        </w:rPr>
        <w:t>Информационные стелы, пилоны, стенды предназначены для размещения информации о мероприятиях, исторических справок, карт, объявлений (рис. 1).</w:t>
      </w:r>
    </w:p>
    <w:p w14:paraId="FB010000">
      <w:pPr>
        <w:ind w:firstLine="0" w:left="400"/>
        <w:jc w:val="both"/>
        <w:rPr>
          <w:color w:val="000000"/>
          <w:sz w:val="24"/>
        </w:rPr>
      </w:pPr>
    </w:p>
    <w:p w14:paraId="FC010000">
      <w:pPr>
        <w:ind w:firstLine="0" w:left="400"/>
        <w:rPr>
          <w:color w:val="000000"/>
          <w:sz w:val="24"/>
        </w:rPr>
      </w:pPr>
      <w:r>
        <w:rPr>
          <w:color w:val="000000"/>
          <w:sz w:val="24"/>
        </w:rPr>
        <w:drawing>
          <wp:inline>
            <wp:extent cx="4221353" cy="2964053"/>
            <wp:docPr hidden="false" id="44" name="Picture 44"/>
            <a:graphic>
              <a:graphicData uri="http://schemas.openxmlformats.org/drawingml/2006/picture">
                <pic:pic>
                  <pic:nvPicPr>
                    <pic:cNvPr hidden="false" id="43" name="Picture 43"/>
                    <pic:cNvPicPr preferRelativeResize="true"/>
                  </pic:nvPicPr>
                  <pic:blipFill>
                    <a:blip r:embed="rId22"/>
                    <a:srcRect b="58809" l="0" r="0" t="0"/>
                    <a:stretch/>
                  </pic:blipFill>
                  <pic:spPr>
                    <a:xfrm flipH="false" flipV="false" rot="0">
                      <a:ext cx="4221353" cy="2964053"/>
                    </a:xfrm>
                    <a:prstGeom prst="rect"/>
                  </pic:spPr>
                </pic:pic>
              </a:graphicData>
            </a:graphic>
          </wp:inline>
        </w:drawing>
      </w:r>
    </w:p>
    <w:p w14:paraId="FD010000">
      <w:pPr>
        <w:ind w:firstLine="0" w:left="400"/>
        <w:rPr>
          <w:color w:val="000000"/>
          <w:sz w:val="24"/>
        </w:rPr>
      </w:pPr>
      <w:r>
        <w:rPr>
          <w:color w:val="000000"/>
          <w:sz w:val="24"/>
        </w:rPr>
        <w:drawing>
          <wp:inline>
            <wp:extent cx="3467227" cy="3314700"/>
            <wp:docPr hidden="false" id="46" name="Picture 46"/>
            <a:graphic>
              <a:graphicData uri="http://schemas.openxmlformats.org/drawingml/2006/picture">
                <pic:pic>
                  <pic:nvPicPr>
                    <pic:cNvPr hidden="false" id="45" name="Picture 45"/>
                    <pic:cNvPicPr preferRelativeResize="true"/>
                  </pic:nvPicPr>
                  <pic:blipFill>
                    <a:blip r:embed="rId23"/>
                    <a:srcRect b="0" l="0" r="0" t="39909"/>
                    <a:stretch/>
                  </pic:blipFill>
                  <pic:spPr>
                    <a:xfrm flipH="false" flipV="false" rot="0">
                      <a:ext cx="3467227" cy="3314700"/>
                    </a:xfrm>
                    <a:prstGeom prst="rect"/>
                  </pic:spPr>
                </pic:pic>
              </a:graphicData>
            </a:graphic>
          </wp:inline>
        </w:drawing>
      </w:r>
    </w:p>
    <w:p w14:paraId="FE010000">
      <w:pPr>
        <w:ind w:firstLine="0" w:left="400"/>
        <w:jc w:val="both"/>
        <w:rPr>
          <w:color w:val="000000"/>
          <w:sz w:val="24"/>
        </w:rPr>
      </w:pPr>
    </w:p>
    <w:p w14:paraId="FF010000">
      <w:pPr>
        <w:ind w:firstLine="0" w:left="400"/>
        <w:jc w:val="center"/>
        <w:rPr>
          <w:color w:val="000000"/>
          <w:sz w:val="24"/>
        </w:rPr>
      </w:pPr>
      <w:r>
        <w:rPr>
          <w:color w:val="000000"/>
          <w:sz w:val="24"/>
        </w:rPr>
        <w:t>Рис.1</w:t>
      </w:r>
    </w:p>
    <w:p w14:paraId="00020000">
      <w:pPr>
        <w:ind w:firstLine="0" w:left="400"/>
        <w:jc w:val="center"/>
        <w:rPr>
          <w:color w:val="000000"/>
          <w:sz w:val="24"/>
        </w:rPr>
      </w:pPr>
    </w:p>
    <w:p w14:paraId="01020000">
      <w:pPr>
        <w:ind w:firstLine="0" w:left="400"/>
        <w:jc w:val="both"/>
        <w:rPr>
          <w:color w:val="000000"/>
          <w:sz w:val="24"/>
        </w:rPr>
      </w:pPr>
      <w:r>
        <w:rPr>
          <w:color w:val="000000"/>
          <w:sz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02020000">
      <w:pPr>
        <w:ind w:firstLine="0" w:left="400"/>
        <w:jc w:val="both"/>
        <w:rPr>
          <w:color w:val="000000"/>
          <w:sz w:val="24"/>
        </w:rPr>
      </w:pPr>
      <w:r>
        <w:rPr>
          <w:color w:val="000000"/>
          <w:sz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03020000">
      <w:pPr>
        <w:ind w:firstLine="0" w:left="400"/>
        <w:jc w:val="both"/>
        <w:rPr>
          <w:color w:val="000000"/>
          <w:sz w:val="24"/>
        </w:rPr>
      </w:pPr>
      <w:r>
        <w:rPr>
          <w:color w:val="000000"/>
          <w:sz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04020000">
      <w:pPr>
        <w:ind w:firstLine="0" w:left="400"/>
        <w:jc w:val="both"/>
        <w:rPr>
          <w:color w:val="000000"/>
          <w:sz w:val="24"/>
        </w:rPr>
      </w:pPr>
    </w:p>
    <w:p w14:paraId="05020000">
      <w:pPr>
        <w:widowControl w:val="1"/>
        <w:numPr>
          <w:ilvl w:val="0"/>
          <w:numId w:val="3"/>
        </w:numPr>
        <w:ind w:firstLine="0" w:left="400"/>
        <w:jc w:val="both"/>
        <w:rPr>
          <w:b w:val="1"/>
          <w:color w:val="000000"/>
          <w:sz w:val="24"/>
        </w:rPr>
      </w:pPr>
      <w:r>
        <w:rPr>
          <w:b w:val="1"/>
          <w:color w:val="000000"/>
          <w:sz w:val="24"/>
        </w:rPr>
        <w:t xml:space="preserve">Требования к навигационным указателям и стендам. </w:t>
      </w:r>
    </w:p>
    <w:p w14:paraId="06020000">
      <w:pPr>
        <w:widowControl w:val="1"/>
        <w:numPr>
          <w:ilvl w:val="1"/>
          <w:numId w:val="3"/>
        </w:numPr>
        <w:ind w:firstLine="0" w:left="400"/>
        <w:jc w:val="both"/>
        <w:rPr>
          <w:color w:val="000000"/>
          <w:sz w:val="24"/>
        </w:rPr>
      </w:pPr>
      <w:r>
        <w:rPr>
          <w:color w:val="000000"/>
          <w:sz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07020000">
      <w:pPr>
        <w:ind w:firstLine="0" w:left="400"/>
        <w:jc w:val="both"/>
        <w:rPr>
          <w:sz w:val="24"/>
        </w:rPr>
      </w:pPr>
    </w:p>
    <w:p w14:paraId="08020000">
      <w:pPr>
        <w:ind w:firstLine="0" w:left="400"/>
        <w:jc w:val="both"/>
        <w:rPr>
          <w:sz w:val="24"/>
        </w:rPr>
      </w:pPr>
    </w:p>
    <w:p w14:paraId="09020000">
      <w:pPr>
        <w:ind w:firstLine="0" w:left="400"/>
        <w:jc w:val="both"/>
        <w:rPr>
          <w:sz w:val="24"/>
        </w:rPr>
      </w:pPr>
    </w:p>
    <w:p w14:paraId="0A020000">
      <w:pPr>
        <w:ind w:firstLine="0" w:left="400"/>
        <w:jc w:val="both"/>
        <w:rPr>
          <w:sz w:val="24"/>
        </w:rPr>
      </w:pPr>
      <w:r>
        <w:rPr>
          <w:sz w:val="24"/>
        </w:rPr>
        <w:drawing>
          <wp:inline>
            <wp:extent cx="3878580" cy="3139567"/>
            <wp:docPr hidden="false" id="48" name="Picture 48"/>
            <a:graphic>
              <a:graphicData uri="http://schemas.openxmlformats.org/drawingml/2006/picture">
                <pic:pic>
                  <pic:nvPicPr>
                    <pic:cNvPr hidden="false" id="47" name="Picture 47"/>
                    <pic:cNvPicPr preferRelativeResize="true"/>
                  </pic:nvPicPr>
                  <pic:blipFill>
                    <a:blip r:embed="rId24"/>
                    <a:srcRect b="0" l="0" r="0" t="0"/>
                    <a:stretch/>
                  </pic:blipFill>
                  <pic:spPr>
                    <a:xfrm flipH="false" flipV="false" rot="0">
                      <a:ext cx="3878580" cy="3139567"/>
                    </a:xfrm>
                    <a:prstGeom prst="rect"/>
                  </pic:spPr>
                </pic:pic>
              </a:graphicData>
            </a:graphic>
          </wp:inline>
        </w:drawing>
      </w:r>
    </w:p>
    <w:p w14:paraId="0B020000">
      <w:pPr>
        <w:ind w:firstLine="0" w:left="400"/>
        <w:jc w:val="center"/>
        <w:rPr>
          <w:sz w:val="24"/>
        </w:rPr>
      </w:pPr>
      <w:r>
        <w:rPr>
          <w:sz w:val="24"/>
        </w:rPr>
        <w:t>Рис.2</w:t>
      </w:r>
    </w:p>
    <w:p w14:paraId="0C020000">
      <w:pPr>
        <w:ind w:firstLine="0" w:left="400"/>
        <w:jc w:val="center"/>
        <w:rPr>
          <w:sz w:val="24"/>
        </w:rPr>
      </w:pPr>
    </w:p>
    <w:p w14:paraId="0D020000">
      <w:pPr>
        <w:ind w:firstLine="0" w:left="400"/>
        <w:jc w:val="both"/>
        <w:rPr>
          <w:color w:val="000000"/>
          <w:sz w:val="24"/>
        </w:rPr>
      </w:pPr>
      <w:r>
        <w:rPr>
          <w:color w:val="000000"/>
          <w:sz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0E020000">
      <w:pPr>
        <w:ind w:firstLine="0" w:left="400"/>
        <w:jc w:val="both"/>
        <w:rPr>
          <w:color w:val="000000"/>
          <w:sz w:val="24"/>
        </w:rPr>
      </w:pPr>
      <w:r>
        <w:rPr>
          <w:color w:val="000000"/>
          <w:sz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0F020000">
      <w:pPr>
        <w:ind w:firstLine="0" w:left="400"/>
        <w:jc w:val="both"/>
        <w:rPr>
          <w:color w:val="000000"/>
          <w:sz w:val="24"/>
        </w:rPr>
      </w:pPr>
      <w:r>
        <w:rPr>
          <w:sz w:val="24"/>
        </w:rPr>
        <w:br w:type="page"/>
      </w:r>
    </w:p>
    <w:p w14:paraId="10020000">
      <w:pPr>
        <w:widowControl w:val="1"/>
        <w:numPr>
          <w:ilvl w:val="0"/>
          <w:numId w:val="3"/>
        </w:numPr>
        <w:ind w:firstLine="0" w:left="400"/>
        <w:jc w:val="both"/>
        <w:rPr>
          <w:b w:val="1"/>
          <w:color w:val="000000"/>
          <w:sz w:val="24"/>
        </w:rPr>
      </w:pPr>
      <w:r>
        <w:rPr>
          <w:b w:val="1"/>
          <w:color w:val="000000"/>
          <w:sz w:val="24"/>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1020000">
      <w:pPr>
        <w:ind w:firstLine="0" w:left="400"/>
        <w:jc w:val="both"/>
        <w:rPr>
          <w:color w:val="000000"/>
          <w:sz w:val="24"/>
        </w:rPr>
      </w:pPr>
      <w:r>
        <w:rPr>
          <w:color w:val="000000"/>
          <w:sz w:val="24"/>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12020000">
      <w:pPr>
        <w:ind w:firstLine="0" w:left="400"/>
        <w:jc w:val="both"/>
        <w:rPr>
          <w:color w:val="000000"/>
          <w:sz w:val="24"/>
        </w:rPr>
      </w:pPr>
      <w:r>
        <w:rPr>
          <w:color w:val="000000"/>
          <w:sz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13020000">
      <w:pPr>
        <w:ind w:firstLine="0" w:left="400"/>
        <w:jc w:val="both"/>
        <w:rPr>
          <w:color w:val="000000"/>
          <w:sz w:val="24"/>
        </w:rPr>
      </w:pPr>
      <w:r>
        <w:rPr>
          <w:color w:val="000000"/>
          <w:sz w:val="24"/>
        </w:rPr>
        <w:t>1.1.2. При определении числа урн на территории парка хозяйствующему субъекту необходимо исходить из расчета одна урна на 800 площади парка.</w:t>
      </w:r>
    </w:p>
    <w:p w14:paraId="14020000">
      <w:pPr>
        <w:ind w:firstLine="0" w:left="400"/>
        <w:jc w:val="both"/>
        <w:rPr>
          <w:color w:val="000000"/>
          <w:sz w:val="24"/>
        </w:rPr>
      </w:pPr>
      <w:r>
        <w:rPr>
          <w:color w:val="000000"/>
          <w:sz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15020000">
      <w:pPr>
        <w:ind w:firstLine="0" w:left="400"/>
        <w:jc w:val="both"/>
        <w:rPr>
          <w:color w:val="000000"/>
          <w:sz w:val="24"/>
        </w:rPr>
      </w:pPr>
      <w:r>
        <w:rPr>
          <w:color w:val="000000"/>
          <w:sz w:val="24"/>
        </w:rPr>
        <w:t>1.2. НТО должны размещаться с учетом:</w:t>
      </w:r>
    </w:p>
    <w:p w14:paraId="16020000">
      <w:pPr>
        <w:ind w:firstLine="0" w:left="400"/>
        <w:jc w:val="both"/>
        <w:rPr>
          <w:color w:val="000000"/>
          <w:sz w:val="24"/>
        </w:rPr>
      </w:pPr>
      <w:r>
        <w:rPr>
          <w:color w:val="000000"/>
          <w:sz w:val="24"/>
        </w:rPr>
        <w:t>- схемы размещения НТО;</w:t>
      </w:r>
    </w:p>
    <w:p w14:paraId="17020000">
      <w:pPr>
        <w:ind w:firstLine="0" w:left="400"/>
        <w:jc w:val="both"/>
        <w:rPr>
          <w:color w:val="000000"/>
          <w:sz w:val="24"/>
        </w:rPr>
      </w:pPr>
      <w:r>
        <w:rPr>
          <w:color w:val="000000"/>
          <w:sz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18020000">
      <w:pPr>
        <w:ind w:firstLine="0" w:left="400"/>
        <w:jc w:val="both"/>
        <w:rPr>
          <w:color w:val="000000"/>
          <w:sz w:val="24"/>
        </w:rPr>
      </w:pPr>
      <w:r>
        <w:rPr>
          <w:color w:val="000000"/>
          <w:sz w:val="24"/>
        </w:rPr>
        <w:t>- обеспечения беспрепятственного развития улично-дорожной сети;</w:t>
      </w:r>
    </w:p>
    <w:p w14:paraId="19020000">
      <w:pPr>
        <w:ind w:firstLine="0" w:left="400"/>
        <w:jc w:val="both"/>
        <w:rPr>
          <w:color w:val="000000"/>
          <w:sz w:val="24"/>
        </w:rPr>
      </w:pPr>
      <w:r>
        <w:rPr>
          <w:color w:val="000000"/>
          <w:sz w:val="24"/>
        </w:rPr>
        <w:t>- обеспечения беспрепятственного движения транспорта и пешеходов;</w:t>
      </w:r>
    </w:p>
    <w:p w14:paraId="1A020000">
      <w:pPr>
        <w:ind w:firstLine="0" w:left="400"/>
        <w:jc w:val="both"/>
        <w:rPr>
          <w:color w:val="000000"/>
          <w:sz w:val="24"/>
        </w:rPr>
      </w:pPr>
      <w:r>
        <w:rPr>
          <w:color w:val="000000"/>
          <w:sz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1B020000">
      <w:pPr>
        <w:ind w:firstLine="0" w:left="400"/>
        <w:jc w:val="both"/>
        <w:rPr>
          <w:color w:val="000000"/>
          <w:sz w:val="24"/>
        </w:rPr>
      </w:pPr>
      <w:r>
        <w:rPr>
          <w:color w:val="000000"/>
          <w:sz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1C020000">
      <w:pPr>
        <w:ind w:firstLine="0" w:left="400"/>
        <w:jc w:val="both"/>
        <w:rPr>
          <w:color w:val="000000"/>
          <w:sz w:val="24"/>
        </w:rPr>
      </w:pPr>
      <w:r>
        <w:rPr>
          <w:color w:val="000000"/>
          <w:sz w:val="24"/>
        </w:rPr>
        <w:t>1.2.1. НТО должны размещаться с учетом необходимости</w:t>
      </w:r>
    </w:p>
    <w:p w14:paraId="1D020000">
      <w:pPr>
        <w:ind w:firstLine="0" w:left="400"/>
        <w:jc w:val="both"/>
        <w:rPr>
          <w:color w:val="000000"/>
          <w:sz w:val="24"/>
        </w:rPr>
      </w:pPr>
      <w:r>
        <w:rPr>
          <w:color w:val="000000"/>
          <w:sz w:val="24"/>
        </w:rPr>
        <w:t>обеспечения благоустройства и оборудования мест размещения НТО, в том числе должно быть обеспечено:</w:t>
      </w:r>
    </w:p>
    <w:p w14:paraId="1E020000">
      <w:pPr>
        <w:ind w:firstLine="0" w:left="400"/>
        <w:jc w:val="both"/>
        <w:rPr>
          <w:color w:val="000000"/>
          <w:sz w:val="24"/>
        </w:rPr>
      </w:pPr>
      <w:r>
        <w:rPr>
          <w:color w:val="000000"/>
          <w:sz w:val="24"/>
        </w:rPr>
        <w:t>- благоустройство площадки для размещения НТО и прилегающей территории;</w:t>
      </w:r>
    </w:p>
    <w:p w14:paraId="1F020000">
      <w:pPr>
        <w:ind w:firstLine="0" w:left="400"/>
        <w:jc w:val="both"/>
        <w:rPr>
          <w:color w:val="000000"/>
          <w:sz w:val="24"/>
        </w:rPr>
      </w:pPr>
      <w:r>
        <w:rPr>
          <w:color w:val="000000"/>
          <w:sz w:val="24"/>
        </w:rPr>
        <w:t>- возможность подключения НТО к сетям инженерно-технического обеспечения (при необходимости);</w:t>
      </w:r>
    </w:p>
    <w:p w14:paraId="20020000">
      <w:pPr>
        <w:ind w:firstLine="0" w:left="400"/>
        <w:jc w:val="both"/>
        <w:rPr>
          <w:color w:val="000000"/>
          <w:sz w:val="24"/>
        </w:rPr>
      </w:pPr>
      <w:r>
        <w:rPr>
          <w:color w:val="000000"/>
          <w:sz w:val="24"/>
        </w:rPr>
        <w:t>- удобный подъезд автотранспорта, не создающий помех для прохода пешеходов, заездные карманы;</w:t>
      </w:r>
    </w:p>
    <w:p w14:paraId="21020000">
      <w:pPr>
        <w:ind w:firstLine="0" w:left="400"/>
        <w:jc w:val="both"/>
        <w:rPr>
          <w:color w:val="000000"/>
          <w:sz w:val="24"/>
        </w:rPr>
      </w:pPr>
      <w:r>
        <w:rPr>
          <w:color w:val="000000"/>
          <w:sz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22020000">
      <w:pPr>
        <w:ind w:firstLine="0" w:left="400"/>
        <w:jc w:val="both"/>
        <w:rPr>
          <w:color w:val="000000"/>
          <w:sz w:val="24"/>
        </w:rPr>
      </w:pPr>
      <w:r>
        <w:rPr>
          <w:color w:val="000000"/>
          <w:sz w:val="24"/>
        </w:rPr>
        <w:t>1.2.2. Размещение НТО должно обеспечивать свободное движение пешеходов и доступ потребителей к торговым объектам, в том числе:</w:t>
      </w:r>
    </w:p>
    <w:p w14:paraId="23020000">
      <w:pPr>
        <w:ind w:firstLine="0" w:left="400"/>
        <w:jc w:val="both"/>
        <w:rPr>
          <w:color w:val="000000"/>
          <w:sz w:val="24"/>
        </w:rPr>
      </w:pPr>
      <w:r>
        <w:rPr>
          <w:color w:val="000000"/>
          <w:sz w:val="24"/>
        </w:rPr>
        <w:t xml:space="preserve">- безбарьерная среда жизнедеятельности для инвалидов и иных маломобильных групп населения, </w:t>
      </w:r>
    </w:p>
    <w:p w14:paraId="24020000">
      <w:pPr>
        <w:ind w:firstLine="0" w:left="400"/>
        <w:jc w:val="both"/>
        <w:rPr>
          <w:color w:val="000000"/>
          <w:sz w:val="24"/>
        </w:rPr>
      </w:pPr>
      <w:r>
        <w:rPr>
          <w:color w:val="000000"/>
          <w:sz w:val="24"/>
        </w:rPr>
        <w:t>- беспрепятственный подъезд спецтранспорта при чрезвычайных ситуациях.</w:t>
      </w:r>
    </w:p>
    <w:p w14:paraId="25020000">
      <w:pPr>
        <w:ind w:firstLine="0" w:left="400"/>
        <w:jc w:val="both"/>
        <w:rPr>
          <w:color w:val="000000"/>
          <w:sz w:val="24"/>
        </w:rPr>
      </w:pPr>
      <w:r>
        <w:rPr>
          <w:color w:val="000000"/>
          <w:sz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26020000">
      <w:pPr>
        <w:ind w:firstLine="0" w:left="400"/>
        <w:jc w:val="both"/>
        <w:rPr>
          <w:color w:val="000000"/>
          <w:sz w:val="24"/>
        </w:rPr>
      </w:pPr>
      <w:r>
        <w:rPr>
          <w:color w:val="000000"/>
          <w:sz w:val="24"/>
        </w:rPr>
        <w:t>1.2.4. Планировка и конструктивное исполнение НТО должны обеспечивать требуемые условия приема, хранения и от 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14:paraId="27020000">
      <w:pPr>
        <w:ind w:firstLine="0" w:left="400"/>
        <w:jc w:val="both"/>
        <w:rPr>
          <w:color w:val="000000"/>
          <w:sz w:val="24"/>
        </w:rPr>
      </w:pPr>
      <w:r>
        <w:rPr>
          <w:color w:val="000000"/>
          <w:sz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28020000">
      <w:pPr>
        <w:ind w:firstLine="0" w:left="400"/>
        <w:jc w:val="both"/>
        <w:rPr>
          <w:color w:val="000000"/>
          <w:sz w:val="24"/>
        </w:rPr>
      </w:pPr>
      <w:r>
        <w:rPr>
          <w:color w:val="000000"/>
          <w:sz w:val="24"/>
        </w:rPr>
        <w:t>1.2.6. Не допускается размещение НТО:</w:t>
      </w:r>
    </w:p>
    <w:p w14:paraId="29020000">
      <w:pPr>
        <w:ind w:firstLine="0" w:left="400"/>
        <w:jc w:val="both"/>
        <w:rPr>
          <w:color w:val="000000"/>
          <w:sz w:val="24"/>
        </w:rPr>
      </w:pPr>
      <w:r>
        <w:rPr>
          <w:color w:val="000000"/>
          <w:sz w:val="24"/>
        </w:rPr>
        <w:t>- в местах, не включенных в схему размещения НТО;</w:t>
      </w:r>
    </w:p>
    <w:p w14:paraId="2A020000">
      <w:pPr>
        <w:ind w:firstLine="0" w:left="400"/>
        <w:jc w:val="both"/>
        <w:rPr>
          <w:color w:val="000000"/>
          <w:sz w:val="24"/>
        </w:rPr>
      </w:pPr>
      <w:r>
        <w:rPr>
          <w:color w:val="000000"/>
          <w:sz w:val="24"/>
        </w:rPr>
        <w:t>- в арках зданий, на газонах (без устройства специального настила), площадках (детских, для отдыха, спортивных), транспортных стоянках;</w:t>
      </w:r>
    </w:p>
    <w:p w14:paraId="2B020000">
      <w:pPr>
        <w:ind w:firstLine="0" w:left="400"/>
        <w:jc w:val="both"/>
        <w:rPr>
          <w:color w:val="000000"/>
          <w:sz w:val="24"/>
        </w:rPr>
      </w:pPr>
      <w:r>
        <w:rPr>
          <w:color w:val="000000"/>
          <w:sz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2C020000">
      <w:pPr>
        <w:ind w:firstLine="0" w:left="400"/>
        <w:jc w:val="both"/>
        <w:rPr>
          <w:color w:val="000000"/>
          <w:sz w:val="24"/>
        </w:rPr>
      </w:pPr>
      <w:r>
        <w:rPr>
          <w:color w:val="000000"/>
          <w:sz w:val="24"/>
        </w:rPr>
        <w:t>- при отсутствии согласования размещения НТО с собственниками соответствующих сетей;</w:t>
      </w:r>
    </w:p>
    <w:p w14:paraId="2D020000">
      <w:pPr>
        <w:ind w:firstLine="0" w:left="400"/>
        <w:jc w:val="both"/>
        <w:rPr>
          <w:color w:val="000000"/>
          <w:sz w:val="24"/>
        </w:rPr>
      </w:pPr>
      <w:r>
        <w:rPr>
          <w:color w:val="000000"/>
          <w:sz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2E020000">
      <w:pPr>
        <w:ind w:firstLine="0" w:left="400"/>
        <w:jc w:val="both"/>
        <w:rPr>
          <w:color w:val="000000"/>
          <w:sz w:val="24"/>
        </w:rPr>
      </w:pPr>
      <w:r>
        <w:rPr>
          <w:color w:val="000000"/>
          <w:sz w:val="24"/>
        </w:rPr>
        <w:t>- на пешеходной части тротуаров и дорожек;</w:t>
      </w:r>
    </w:p>
    <w:p w14:paraId="2F020000">
      <w:pPr>
        <w:ind w:firstLine="0" w:left="400"/>
        <w:jc w:val="both"/>
        <w:rPr>
          <w:color w:val="000000"/>
          <w:sz w:val="24"/>
        </w:rPr>
      </w:pPr>
      <w:r>
        <w:rPr>
          <w:color w:val="000000"/>
          <w:sz w:val="24"/>
        </w:rPr>
        <w:t>- на расстоянии менее 25 м — от вентиляционных шахт и 15 м — от окон жилых помещений;</w:t>
      </w:r>
    </w:p>
    <w:p w14:paraId="30020000">
      <w:pPr>
        <w:ind w:firstLine="0" w:left="400"/>
        <w:jc w:val="both"/>
        <w:rPr>
          <w:color w:val="000000"/>
          <w:sz w:val="24"/>
        </w:rPr>
      </w:pPr>
      <w:r>
        <w:rPr>
          <w:color w:val="000000"/>
          <w:sz w:val="24"/>
        </w:rPr>
        <w:t>- перед витринами торговых организаций;</w:t>
      </w:r>
    </w:p>
    <w:p w14:paraId="31020000">
      <w:pPr>
        <w:ind w:firstLine="0" w:left="400"/>
        <w:jc w:val="both"/>
        <w:rPr>
          <w:color w:val="000000"/>
          <w:sz w:val="24"/>
        </w:rPr>
      </w:pPr>
      <w:r>
        <w:rPr>
          <w:color w:val="000000"/>
          <w:sz w:val="24"/>
        </w:rPr>
        <w:t>- на территории выделенных технических (охранных) зон;</w:t>
      </w:r>
    </w:p>
    <w:p w14:paraId="32020000">
      <w:pPr>
        <w:ind w:firstLine="0" w:left="400"/>
        <w:jc w:val="both"/>
        <w:rPr>
          <w:color w:val="000000"/>
          <w:sz w:val="24"/>
        </w:rPr>
      </w:pPr>
      <w:r>
        <w:rPr>
          <w:color w:val="000000"/>
          <w:sz w:val="24"/>
        </w:rPr>
        <w:t>- под железнодорожными путепроводами и автомобильными эстакадами, мостами;</w:t>
      </w:r>
    </w:p>
    <w:p w14:paraId="33020000">
      <w:pPr>
        <w:ind w:firstLine="0" w:left="400"/>
        <w:jc w:val="both"/>
        <w:rPr>
          <w:color w:val="000000"/>
          <w:sz w:val="24"/>
        </w:rPr>
      </w:pPr>
      <w:r>
        <w:rPr>
          <w:color w:val="000000"/>
          <w:sz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34020000">
      <w:pPr>
        <w:ind w:firstLine="0" w:left="400"/>
        <w:jc w:val="both"/>
        <w:rPr>
          <w:color w:val="000000"/>
          <w:sz w:val="24"/>
        </w:rPr>
      </w:pPr>
      <w:r>
        <w:rPr>
          <w:color w:val="000000"/>
          <w:sz w:val="24"/>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35020000">
      <w:pPr>
        <w:ind w:firstLine="0" w:left="400"/>
        <w:jc w:val="both"/>
        <w:rPr>
          <w:color w:val="000000"/>
          <w:sz w:val="24"/>
        </w:rPr>
      </w:pPr>
      <w:r>
        <w:rPr>
          <w:color w:val="000000"/>
          <w:sz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36020000">
      <w:pPr>
        <w:ind w:firstLine="0" w:left="400"/>
        <w:jc w:val="both"/>
        <w:rPr>
          <w:color w:val="000000"/>
          <w:sz w:val="24"/>
        </w:rPr>
      </w:pPr>
      <w:r>
        <w:rPr>
          <w:color w:val="000000"/>
          <w:sz w:val="24"/>
        </w:rPr>
        <w:t>- с нарушением санитарных, градостроительных, противопожарных норм и правил благоустройства территорий муниципального образования.</w:t>
      </w:r>
    </w:p>
    <w:p w14:paraId="37020000">
      <w:pPr>
        <w:ind w:firstLine="0" w:left="400"/>
        <w:jc w:val="both"/>
        <w:rPr>
          <w:color w:val="000000"/>
          <w:sz w:val="24"/>
        </w:rPr>
      </w:pPr>
      <w:r>
        <w:rPr>
          <w:color w:val="000000"/>
          <w:sz w:val="24"/>
        </w:rPr>
        <w:t>1.2.7. Рекомендуемые для территории города типы НТО</w:t>
      </w:r>
    </w:p>
    <w:p w14:paraId="38020000">
      <w:pPr>
        <w:ind w:firstLine="0" w:left="400"/>
        <w:jc w:val="both"/>
        <w:rPr>
          <w:color w:val="000000"/>
          <w:sz w:val="24"/>
        </w:rPr>
      </w:pPr>
      <w:r>
        <w:rPr>
          <w:color w:val="000000"/>
          <w:sz w:val="24"/>
        </w:rPr>
        <w:t>см. главу 4.</w:t>
      </w:r>
    </w:p>
    <w:p w14:paraId="39020000">
      <w:pPr>
        <w:ind w:firstLine="0" w:left="400"/>
        <w:jc w:val="both"/>
        <w:rPr>
          <w:color w:val="000000"/>
          <w:sz w:val="24"/>
        </w:rPr>
      </w:pPr>
      <w:r>
        <w:rPr>
          <w:color w:val="000000"/>
          <w:sz w:val="24"/>
        </w:rPr>
        <w:t>1.3. Мощение и иные покрытия, а также озеленение в пределах одного элемента улично-дорожной сети выполняются в едином стиле.</w:t>
      </w:r>
    </w:p>
    <w:p w14:paraId="3A020000">
      <w:pPr>
        <w:ind w:firstLine="0" w:left="400"/>
        <w:jc w:val="both"/>
        <w:rPr>
          <w:color w:val="000000"/>
          <w:sz w:val="24"/>
        </w:rPr>
      </w:pPr>
      <w:r>
        <w:rPr>
          <w:color w:val="000000"/>
          <w:sz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3B020000">
      <w:pPr>
        <w:widowControl w:val="1"/>
        <w:ind w:firstLine="0" w:left="400"/>
        <w:jc w:val="both"/>
        <w:rPr>
          <w:sz w:val="24"/>
        </w:rPr>
      </w:pPr>
    </w:p>
    <w:p w14:paraId="3C020000">
      <w:pPr>
        <w:ind/>
        <w:jc w:val="both"/>
        <w:rPr>
          <w:color w:val="000000"/>
          <w:spacing w:val="-6"/>
          <w:sz w:val="24"/>
        </w:rPr>
      </w:pPr>
    </w:p>
    <w:sectPr>
      <w:pgSz w:h="16838" w:orient="portrait" w:w="11906"/>
      <w:pgMar w:bottom="1134" w:footer="709" w:gutter="0" w:header="709" w:left="1701" w:right="567"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360" w:left="502"/>
      </w:pPr>
    </w:lvl>
    <w:lvl w:ilvl="1">
      <w:start w:val="1"/>
      <w:numFmt w:val="decimal"/>
      <w:lvlText w:val="%1.%2."/>
      <w:lvlJc w:val="left"/>
      <w:pPr>
        <w:ind w:hanging="720" w:left="862"/>
      </w:pPr>
    </w:lvl>
    <w:lvl w:ilvl="2">
      <w:start w:val="1"/>
      <w:numFmt w:val="decimal"/>
      <w:lvlText w:val="%1.%2.%3."/>
      <w:lvlJc w:val="left"/>
      <w:pPr>
        <w:ind w:hanging="720" w:left="862"/>
      </w:pPr>
    </w:lvl>
    <w:lvl w:ilvl="3">
      <w:start w:val="1"/>
      <w:numFmt w:val="decimal"/>
      <w:lvlText w:val="%1.%2.%3.%4."/>
      <w:lvlJc w:val="left"/>
      <w:pPr>
        <w:ind w:hanging="1080" w:left="1222"/>
      </w:pPr>
    </w:lvl>
    <w:lvl w:ilvl="4">
      <w:start w:val="1"/>
      <w:numFmt w:val="decimal"/>
      <w:lvlText w:val="%1.%2.%3.%4.%5."/>
      <w:lvlJc w:val="left"/>
      <w:pPr>
        <w:ind w:hanging="1080" w:left="1222"/>
      </w:pPr>
    </w:lvl>
    <w:lvl w:ilvl="5">
      <w:start w:val="1"/>
      <w:numFmt w:val="decimal"/>
      <w:lvlText w:val="%1.%2.%3.%4.%5.%6."/>
      <w:lvlJc w:val="left"/>
      <w:pPr>
        <w:ind w:hanging="1440" w:left="1582"/>
      </w:pPr>
    </w:lvl>
    <w:lvl w:ilvl="6">
      <w:start w:val="1"/>
      <w:numFmt w:val="decimal"/>
      <w:lvlText w:val="%1.%2.%3.%4.%5.%6.%7."/>
      <w:lvlJc w:val="left"/>
      <w:pPr>
        <w:ind w:hanging="1800" w:left="1942"/>
      </w:pPr>
    </w:lvl>
    <w:lvl w:ilvl="7">
      <w:start w:val="1"/>
      <w:numFmt w:val="decimal"/>
      <w:lvlText w:val="%1.%2.%3.%4.%5.%6.%7.%8."/>
      <w:lvlJc w:val="left"/>
      <w:pPr>
        <w:ind w:hanging="1800" w:left="1942"/>
      </w:pPr>
    </w:lvl>
    <w:lvl w:ilvl="8">
      <w:start w:val="1"/>
      <w:numFmt w:val="decimal"/>
      <w:lvlText w:val="%1.%2.%3.%4.%5.%6.%7.%8.%9."/>
      <w:lvlJc w:val="left"/>
      <w:pPr>
        <w:ind w:hanging="2160" w:left="2302"/>
      </w:pPr>
    </w:lvl>
  </w:abstractNum>
  <w:abstractNum w:abstractNumId="2">
    <w:lvl w:ilvl="0">
      <w:start w:val="1"/>
      <w:numFmt w:val="decimal"/>
      <w:lvlText w:val="%1."/>
      <w:lvlJc w:val="left"/>
      <w:pPr>
        <w:ind w:hanging="360" w:left="720"/>
      </w:pPr>
    </w:lvl>
    <w:lvl w:ilvl="1">
      <w:start w:val="1"/>
      <w:numFmt w:val="decimal"/>
      <w:lvlText w:val="%1.%2."/>
      <w:lvlJc w:val="left"/>
      <w:pPr>
        <w:ind w:hanging="720" w:left="1080"/>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800" w:left="2160"/>
      </w:pPr>
    </w:lvl>
    <w:lvl w:ilvl="7">
      <w:start w:val="1"/>
      <w:numFmt w:val="decimal"/>
      <w:lvlText w:val="%1.%2.%3.%4.%5.%6.%7.%8."/>
      <w:lvlJc w:val="left"/>
      <w:pPr>
        <w:ind w:hanging="1800" w:left="2160"/>
      </w:pPr>
    </w:lvl>
    <w:lvl w:ilvl="8">
      <w:start w:val="1"/>
      <w:numFmt w:val="decimal"/>
      <w:lvlText w:val="%1.%2.%3.%4.%5.%6.%7.%8.%9."/>
      <w:lvlJc w:val="left"/>
      <w:pPr>
        <w:ind w:hanging="2160" w:left="2520"/>
      </w:p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widowControl w:val="0"/>
      <w:ind/>
    </w:pPr>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ConsPlusNormal"/>
    <w:link w:val="Style_4_ch"/>
    <w:pPr>
      <w:widowControl w:val="0"/>
      <w:ind/>
    </w:pPr>
    <w:rPr>
      <w:rFonts w:ascii="Calibri" w:hAnsi="Calibri"/>
      <w:sz w:val="22"/>
    </w:rPr>
  </w:style>
  <w:style w:styleId="Style_4_ch" w:type="character">
    <w:name w:val="ConsPlusNormal"/>
    <w:link w:val="Style_4"/>
    <w:rPr>
      <w:rFonts w:ascii="Calibri" w:hAnsi="Calibri"/>
      <w:sz w:val="22"/>
    </w:rPr>
  </w:style>
  <w:style w:styleId="Style_5" w:type="paragraph">
    <w:name w:val="toc 4"/>
    <w:next w:val="Style_2"/>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heading 3"/>
    <w:next w:val="Style_2"/>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Default Paragraph Font"/>
    <w:link w:val="Style_9_ch"/>
  </w:style>
  <w:style w:styleId="Style_9_ch" w:type="character">
    <w:name w:val="Default Paragraph Font"/>
    <w:link w:val="Style_9"/>
  </w:style>
  <w:style w:styleId="Style_10" w:type="paragraph">
    <w:name w:val="header"/>
    <w:basedOn w:val="Style_2"/>
    <w:link w:val="Style_10_ch"/>
    <w:pPr>
      <w:tabs>
        <w:tab w:leader="none" w:pos="4677" w:val="center"/>
        <w:tab w:leader="none" w:pos="9355" w:val="right"/>
      </w:tabs>
      <w:ind/>
    </w:pPr>
  </w:style>
  <w:style w:styleId="Style_10_ch" w:type="character">
    <w:name w:val="header"/>
    <w:basedOn w:val="Style_2_ch"/>
    <w:link w:val="Style_10"/>
  </w:style>
  <w:style w:styleId="Style_11" w:type="paragraph">
    <w:name w:val="toc 3"/>
    <w:next w:val="Style_2"/>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page number"/>
    <w:link w:val="Style_12_ch"/>
  </w:style>
  <w:style w:styleId="Style_12_ch" w:type="character">
    <w:name w:val="page number"/>
    <w:link w:val="Style_12"/>
  </w:style>
  <w:style w:styleId="Style_13" w:type="paragraph">
    <w:name w:val="Сноска"/>
    <w:basedOn w:val="Style_2"/>
    <w:link w:val="Style_13_ch"/>
    <w:pPr>
      <w:ind w:firstLine="700" w:left="280"/>
    </w:pPr>
    <w:rPr>
      <w:sz w:val="26"/>
    </w:rPr>
  </w:style>
  <w:style w:styleId="Style_13_ch" w:type="character">
    <w:name w:val="Сноска"/>
    <w:basedOn w:val="Style_2_ch"/>
    <w:link w:val="Style_13"/>
    <w:rPr>
      <w:sz w:val="26"/>
    </w:rPr>
  </w:style>
  <w:style w:styleId="Style_14" w:type="paragraph">
    <w:name w:val="formattext"/>
    <w:basedOn w:val="Style_2"/>
    <w:link w:val="Style_14_ch"/>
    <w:pPr>
      <w:spacing w:afterAutospacing="on" w:beforeAutospacing="on"/>
      <w:ind/>
    </w:pPr>
    <w:rPr>
      <w:sz w:val="24"/>
    </w:rPr>
  </w:style>
  <w:style w:styleId="Style_14_ch" w:type="character">
    <w:name w:val="formattext"/>
    <w:basedOn w:val="Style_2_ch"/>
    <w:link w:val="Style_14"/>
    <w:rPr>
      <w:sz w:val="24"/>
    </w:rPr>
  </w:style>
  <w:style w:styleId="Style_15" w:type="paragraph">
    <w:name w:val="heading 5"/>
    <w:next w:val="Style_2"/>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next w:val="Style_2"/>
    <w:link w:val="Style_16_ch"/>
    <w:uiPriority w:val="9"/>
    <w:qFormat/>
    <w:pPr>
      <w:spacing w:after="120" w:before="120"/>
      <w:ind/>
      <w:jc w:val="both"/>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formattext topleveltext indenttext"/>
    <w:basedOn w:val="Style_2"/>
    <w:link w:val="Style_19_ch"/>
    <w:pPr>
      <w:spacing w:afterAutospacing="on" w:beforeAutospacing="on"/>
      <w:ind/>
    </w:pPr>
    <w:rPr>
      <w:sz w:val="24"/>
    </w:rPr>
  </w:style>
  <w:style w:styleId="Style_19_ch" w:type="character">
    <w:name w:val="formattext topleveltext indenttext"/>
    <w:basedOn w:val="Style_2_ch"/>
    <w:link w:val="Style_19"/>
    <w:rPr>
      <w:sz w:val="24"/>
    </w:rPr>
  </w:style>
  <w:style w:styleId="Style_20" w:type="paragraph">
    <w:name w:val="toc 1"/>
    <w:next w:val="Style_2"/>
    <w:link w:val="Style_20_ch"/>
    <w:uiPriority w:val="39"/>
    <w:pPr>
      <w:ind w:firstLine="0" w:left="0"/>
      <w:jc w:val="left"/>
    </w:pPr>
    <w:rPr>
      <w:rFonts w:ascii="XO Thames" w:hAnsi="XO Thames"/>
      <w:b w:val="1"/>
      <w:sz w:val="28"/>
    </w:rPr>
  </w:style>
  <w:style w:styleId="Style_20_ch" w:type="character">
    <w:name w:val="toc 1"/>
    <w:link w:val="Style_20"/>
    <w:rPr>
      <w:rFonts w:ascii="XO Thames" w:hAnsi="XO Thames"/>
      <w:b w:val="1"/>
      <w:sz w:val="28"/>
    </w:rPr>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22" w:type="paragraph">
    <w:name w:val="s56"/>
    <w:basedOn w:val="Style_2"/>
    <w:link w:val="Style_22_ch"/>
    <w:pPr>
      <w:spacing w:afterAutospacing="on" w:beforeAutospacing="on"/>
      <w:ind/>
    </w:pPr>
    <w:rPr>
      <w:sz w:val="24"/>
    </w:rPr>
  </w:style>
  <w:style w:styleId="Style_22_ch" w:type="character">
    <w:name w:val="s56"/>
    <w:basedOn w:val="Style_2_ch"/>
    <w:link w:val="Style_22"/>
    <w:rPr>
      <w:sz w:val="24"/>
    </w:rPr>
  </w:style>
  <w:style w:styleId="Style_23" w:type="paragraph">
    <w:name w:val="toc 9"/>
    <w:next w:val="Style_2"/>
    <w:link w:val="Style_23_ch"/>
    <w:uiPriority w:val="39"/>
    <w:pPr>
      <w:ind w:firstLine="0" w:left="1600"/>
      <w:jc w:val="left"/>
    </w:pPr>
    <w:rPr>
      <w:rFonts w:ascii="XO Thames" w:hAnsi="XO Thames"/>
      <w:sz w:val="28"/>
    </w:rPr>
  </w:style>
  <w:style w:styleId="Style_23_ch" w:type="character">
    <w:name w:val="toc 9"/>
    <w:link w:val="Style_23"/>
    <w:rPr>
      <w:rFonts w:ascii="XO Thames" w:hAnsi="XO Thames"/>
      <w:sz w:val="28"/>
    </w:rPr>
  </w:style>
  <w:style w:styleId="Style_24" w:type="paragraph">
    <w:name w:val="List Paragraph"/>
    <w:basedOn w:val="Style_2"/>
    <w:link w:val="Style_24_ch"/>
    <w:pPr>
      <w:ind w:firstLine="0" w:left="708"/>
    </w:pPr>
  </w:style>
  <w:style w:styleId="Style_24_ch" w:type="character">
    <w:name w:val="List Paragraph"/>
    <w:basedOn w:val="Style_2_ch"/>
    <w:link w:val="Style_24"/>
  </w:style>
  <w:style w:styleId="Style_25" w:type="paragraph">
    <w:name w:val="toc 8"/>
    <w:next w:val="Style_2"/>
    <w:link w:val="Style_25_ch"/>
    <w:uiPriority w:val="39"/>
    <w:pPr>
      <w:ind w:firstLine="0" w:left="1400"/>
      <w:jc w:val="left"/>
    </w:pPr>
    <w:rPr>
      <w:rFonts w:ascii="XO Thames" w:hAnsi="XO Thames"/>
      <w:sz w:val="28"/>
    </w:rPr>
  </w:style>
  <w:style w:styleId="Style_25_ch" w:type="character">
    <w:name w:val="toc 8"/>
    <w:link w:val="Style_25"/>
    <w:rPr>
      <w:rFonts w:ascii="XO Thames" w:hAnsi="XO Thames"/>
      <w:sz w:val="28"/>
    </w:rPr>
  </w:style>
  <w:style w:styleId="Style_26" w:type="paragraph">
    <w:name w:val="formattext topleveltext"/>
    <w:basedOn w:val="Style_2"/>
    <w:link w:val="Style_26_ch"/>
    <w:pPr>
      <w:spacing w:afterAutospacing="on" w:beforeAutospacing="on"/>
      <w:ind/>
    </w:pPr>
    <w:rPr>
      <w:sz w:val="24"/>
    </w:rPr>
  </w:style>
  <w:style w:styleId="Style_26_ch" w:type="character">
    <w:name w:val="formattext topleveltext"/>
    <w:basedOn w:val="Style_2_ch"/>
    <w:link w:val="Style_26"/>
    <w:rPr>
      <w:sz w:val="24"/>
    </w:rPr>
  </w:style>
  <w:style w:styleId="Style_27" w:type="paragraph">
    <w:name w:val="Основной текст1"/>
    <w:basedOn w:val="Style_2"/>
    <w:link w:val="Style_27_ch"/>
    <w:pPr>
      <w:ind w:firstLine="400" w:left="0"/>
    </w:pPr>
    <w:rPr>
      <w:sz w:val="26"/>
    </w:rPr>
  </w:style>
  <w:style w:styleId="Style_27_ch" w:type="character">
    <w:name w:val="Основной текст1"/>
    <w:basedOn w:val="Style_2_ch"/>
    <w:link w:val="Style_27"/>
    <w:rPr>
      <w:sz w:val="26"/>
    </w:rPr>
  </w:style>
  <w:style w:styleId="Style_28" w:type="paragraph">
    <w:name w:val="toc 5"/>
    <w:next w:val="Style_2"/>
    <w:link w:val="Style_28_ch"/>
    <w:uiPriority w:val="39"/>
    <w:pPr>
      <w:ind w:firstLine="0" w:left="800"/>
      <w:jc w:val="left"/>
    </w:pPr>
    <w:rPr>
      <w:rFonts w:ascii="XO Thames" w:hAnsi="XO Thames"/>
      <w:sz w:val="28"/>
    </w:rPr>
  </w:style>
  <w:style w:styleId="Style_28_ch" w:type="character">
    <w:name w:val="toc 5"/>
    <w:link w:val="Style_28"/>
    <w:rPr>
      <w:rFonts w:ascii="XO Thames" w:hAnsi="XO Thames"/>
      <w:sz w:val="28"/>
    </w:rPr>
  </w:style>
  <w:style w:styleId="Style_29" w:type="paragraph">
    <w:name w:val="Balloon Text"/>
    <w:basedOn w:val="Style_2"/>
    <w:link w:val="Style_29_ch"/>
    <w:rPr>
      <w:rFonts w:ascii="Tahoma" w:hAnsi="Tahoma"/>
      <w:sz w:val="16"/>
    </w:rPr>
  </w:style>
  <w:style w:styleId="Style_29_ch" w:type="character">
    <w:name w:val="Balloon Text"/>
    <w:basedOn w:val="Style_2_ch"/>
    <w:link w:val="Style_29"/>
    <w:rPr>
      <w:rFonts w:ascii="Tahoma" w:hAnsi="Tahoma"/>
      <w:sz w:val="16"/>
    </w:rPr>
  </w:style>
  <w:style w:styleId="Style_30" w:type="paragraph">
    <w:name w:val="Subtitle"/>
    <w:next w:val="Style_2"/>
    <w:link w:val="Style_30_ch"/>
    <w:uiPriority w:val="11"/>
    <w:qFormat/>
    <w:pPr>
      <w:ind/>
      <w:jc w:val="both"/>
    </w:pPr>
    <w:rPr>
      <w:rFonts w:ascii="XO Thames" w:hAnsi="XO Thames"/>
      <w:i w:val="1"/>
      <w:sz w:val="24"/>
    </w:rPr>
  </w:style>
  <w:style w:styleId="Style_30_ch" w:type="character">
    <w:name w:val="Subtitle"/>
    <w:link w:val="Style_30"/>
    <w:rPr>
      <w:rFonts w:ascii="XO Thames" w:hAnsi="XO Thames"/>
      <w:i w:val="1"/>
      <w:sz w:val="24"/>
    </w:rPr>
  </w:style>
  <w:style w:styleId="Style_31" w:type="paragraph">
    <w:name w:val="headertext topleveltext centertext"/>
    <w:basedOn w:val="Style_2"/>
    <w:link w:val="Style_31_ch"/>
    <w:pPr>
      <w:spacing w:afterAutospacing="on" w:beforeAutospacing="on"/>
      <w:ind/>
    </w:pPr>
    <w:rPr>
      <w:sz w:val="24"/>
    </w:rPr>
  </w:style>
  <w:style w:styleId="Style_31_ch" w:type="character">
    <w:name w:val="headertext topleveltext centertext"/>
    <w:basedOn w:val="Style_2_ch"/>
    <w:link w:val="Style_31"/>
    <w:rPr>
      <w:sz w:val="24"/>
    </w:rPr>
  </w:style>
  <w:style w:styleId="Style_32" w:type="paragraph">
    <w:name w:val="Title"/>
    <w:next w:val="Style_2"/>
    <w:link w:val="Style_32_ch"/>
    <w:uiPriority w:val="10"/>
    <w:qFormat/>
    <w:pPr>
      <w:spacing w:after="567" w:before="567"/>
      <w:ind/>
      <w:jc w:val="center"/>
    </w:pPr>
    <w:rPr>
      <w:rFonts w:ascii="XO Thames" w:hAnsi="XO Thames"/>
      <w:b w:val="1"/>
      <w:caps w:val="1"/>
      <w:sz w:val="40"/>
    </w:rPr>
  </w:style>
  <w:style w:styleId="Style_32_ch" w:type="character">
    <w:name w:val="Title"/>
    <w:link w:val="Style_32"/>
    <w:rPr>
      <w:rFonts w:ascii="XO Thames" w:hAnsi="XO Thames"/>
      <w:b w:val="1"/>
      <w:caps w:val="1"/>
      <w:sz w:val="40"/>
    </w:rPr>
  </w:style>
  <w:style w:styleId="Style_33" w:type="paragraph">
    <w:name w:val="heading 4"/>
    <w:next w:val="Style_2"/>
    <w:link w:val="Style_33_ch"/>
    <w:uiPriority w:val="9"/>
    <w:qFormat/>
    <w:pPr>
      <w:spacing w:after="120" w:before="120"/>
      <w:ind/>
      <w:jc w:val="both"/>
      <w:outlineLvl w:val="3"/>
    </w:pPr>
    <w:rPr>
      <w:rFonts w:ascii="XO Thames" w:hAnsi="XO Thames"/>
      <w:b w:val="1"/>
      <w:sz w:val="24"/>
    </w:rPr>
  </w:style>
  <w:style w:styleId="Style_33_ch" w:type="character">
    <w:name w:val="heading 4"/>
    <w:link w:val="Style_33"/>
    <w:rPr>
      <w:rFonts w:ascii="XO Thames" w:hAnsi="XO Thames"/>
      <w:b w:val="1"/>
      <w:sz w:val="24"/>
    </w:rPr>
  </w:style>
  <w:style w:styleId="Style_34" w:type="paragraph">
    <w:name w:val="heading 2"/>
    <w:next w:val="Style_2"/>
    <w:link w:val="Style_34_ch"/>
    <w:uiPriority w:val="9"/>
    <w:qFormat/>
    <w:pPr>
      <w:spacing w:after="120" w:before="120"/>
      <w:ind/>
      <w:jc w:val="both"/>
      <w:outlineLvl w:val="1"/>
    </w:pPr>
    <w:rPr>
      <w:rFonts w:ascii="XO Thames" w:hAnsi="XO Thames"/>
      <w:b w:val="1"/>
      <w:sz w:val="28"/>
    </w:rPr>
  </w:style>
  <w:style w:styleId="Style_34_ch" w:type="character">
    <w:name w:val="heading 2"/>
    <w:link w:val="Style_34"/>
    <w:rPr>
      <w:rFonts w:ascii="XO Thames" w:hAnsi="XO Thames"/>
      <w:b w:val="1"/>
      <w:sz w:val="28"/>
    </w:rPr>
  </w:style>
  <w:style w:default="1" w:styleId="Style_1" w:type="table">
    <w:name w:val="Normal Table"/>
    <w:tblPr>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9" Target="webSettings.xml" Type="http://schemas.openxmlformats.org/officeDocument/2006/relationships/webSettings"/>
  <Relationship Id="rId28" Target="stylesWithEffects.xml" Type="http://schemas.microsoft.com/office/2007/relationships/stylesWithEffects"/>
  <Relationship Id="rId27" Target="styles.xml" Type="http://schemas.openxmlformats.org/officeDocument/2006/relationships/styles"/>
  <Relationship Id="rId23" Target="media/23.png" Type="http://schemas.openxmlformats.org/officeDocument/2006/relationships/image"/>
  <Relationship Id="rId22" Target="media/22.jpeg" Type="http://schemas.openxmlformats.org/officeDocument/2006/relationships/image"/>
  <Relationship Id="rId25" Target="fontTable.xml" Type="http://schemas.openxmlformats.org/officeDocument/2006/relationships/fontTable"/>
  <Relationship Id="rId21" Target="media/21.png" Type="http://schemas.openxmlformats.org/officeDocument/2006/relationships/image"/>
  <Relationship Id="rId13" Target="media/13.jpeg" Type="http://schemas.openxmlformats.org/officeDocument/2006/relationships/image"/>
  <Relationship Id="rId24" Target="media/24.jpeg" Type="http://schemas.openxmlformats.org/officeDocument/2006/relationships/image"/>
  <Relationship Id="rId11" Target="media/11.jpeg" Type="http://schemas.openxmlformats.org/officeDocument/2006/relationships/image"/>
  <Relationship Id="rId18" Target="media/18.jpeg" Type="http://schemas.openxmlformats.org/officeDocument/2006/relationships/image"/>
  <Relationship Id="rId17" Target="media/17.jpeg" Type="http://schemas.openxmlformats.org/officeDocument/2006/relationships/image"/>
  <Relationship Id="rId10" Target="media/10.jpeg" Type="http://schemas.openxmlformats.org/officeDocument/2006/relationships/image"/>
  <Relationship Id="rId26" Target="settings.xml" Type="http://schemas.openxmlformats.org/officeDocument/2006/relationships/settings"/>
  <Relationship Id="rId15" Target="media/15.jpeg" Type="http://schemas.openxmlformats.org/officeDocument/2006/relationships/image"/>
  <Relationship Id="rId9" Target="media/9.jpeg" Type="http://schemas.openxmlformats.org/officeDocument/2006/relationships/image"/>
  <Relationship Id="rId31" Target="numbering.xml" Type="http://schemas.openxmlformats.org/officeDocument/2006/relationships/numbering"/>
  <Relationship Id="rId20" Target="media/20.jpeg" Type="http://schemas.openxmlformats.org/officeDocument/2006/relationships/image"/>
  <Relationship Id="rId19" Target="media/19.jpeg" Type="http://schemas.openxmlformats.org/officeDocument/2006/relationships/image"/>
  <Relationship Id="rId8" Target="media/8.jpeg" Type="http://schemas.openxmlformats.org/officeDocument/2006/relationships/image"/>
  <Relationship Id="rId7" Target="media/7.png" Type="http://schemas.openxmlformats.org/officeDocument/2006/relationships/image"/>
  <Relationship Id="rId14" Target="media/14.png" Type="http://schemas.openxmlformats.org/officeDocument/2006/relationships/image"/>
  <Relationship Id="rId6" Target="media/6.jpeg" Type="http://schemas.openxmlformats.org/officeDocument/2006/relationships/image"/>
  <Relationship Id="rId5" Target="media/5.jpeg" Type="http://schemas.openxmlformats.org/officeDocument/2006/relationships/image"/>
  <Relationship Id="rId4" Target="media/4.png" Type="http://schemas.openxmlformats.org/officeDocument/2006/relationships/image"/>
  <Relationship Id="rId16" Target="media/16.jpeg" Type="http://schemas.openxmlformats.org/officeDocument/2006/relationships/image"/>
  <Relationship Id="rId12" Target="media/12.jpeg" Type="http://schemas.openxmlformats.org/officeDocument/2006/relationships/image"/>
  <Relationship Id="rId30" Target="theme/theme1.xml" Type="http://schemas.openxmlformats.org/officeDocument/2006/relationships/theme"/>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2024-02-21T07:20:04Z</dcterms:modified>
</cp:coreProperties>
</file>