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1F5" w:rsidRPr="00E146E9" w:rsidRDefault="00AC01F5" w:rsidP="00AC01F5">
      <w:pPr>
        <w:ind w:left="-284" w:firstLine="284"/>
        <w:jc w:val="right"/>
        <w:outlineLvl w:val="0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проект</w:t>
      </w:r>
    </w:p>
    <w:p w:rsidR="00AC01F5" w:rsidRPr="00E146E9" w:rsidRDefault="00AC01F5" w:rsidP="00AC01F5">
      <w:pPr>
        <w:ind w:left="-284"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b/>
          <w:sz w:val="24"/>
          <w:szCs w:val="24"/>
        </w:rPr>
        <w:t>Администрация</w:t>
      </w:r>
    </w:p>
    <w:p w:rsidR="00AC01F5" w:rsidRPr="00E146E9" w:rsidRDefault="00AC01F5" w:rsidP="00AC01F5">
      <w:pPr>
        <w:ind w:left="-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b/>
          <w:sz w:val="24"/>
          <w:szCs w:val="24"/>
        </w:rPr>
        <w:t>Большедворского сельского поселения</w:t>
      </w:r>
    </w:p>
    <w:p w:rsidR="00AC01F5" w:rsidRPr="00E146E9" w:rsidRDefault="00AC01F5" w:rsidP="00AC01F5">
      <w:pPr>
        <w:ind w:left="-284"/>
        <w:jc w:val="center"/>
        <w:outlineLvl w:val="0"/>
        <w:rPr>
          <w:rFonts w:ascii="Times New Roman" w:hAnsi="Times New Roman"/>
          <w:sz w:val="24"/>
          <w:szCs w:val="24"/>
        </w:rPr>
      </w:pP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 Ленинградской области</w:t>
      </w:r>
      <w:r w:rsidRPr="00E146E9">
        <w:rPr>
          <w:rFonts w:ascii="Times New Roman" w:hAnsi="Times New Roman"/>
          <w:sz w:val="24"/>
          <w:szCs w:val="24"/>
        </w:rPr>
        <w:t xml:space="preserve">      </w:t>
      </w:r>
    </w:p>
    <w:p w:rsidR="00AC01F5" w:rsidRPr="00E146E9" w:rsidRDefault="00AC01F5" w:rsidP="00AC01F5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 w:rsidRPr="00E146E9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E146E9">
        <w:rPr>
          <w:rFonts w:ascii="Times New Roman" w:hAnsi="Times New Roman"/>
          <w:b/>
          <w:sz w:val="24"/>
          <w:szCs w:val="24"/>
        </w:rPr>
        <w:t xml:space="preserve"> О С Т А Н О В Л Е Н И Е</w:t>
      </w:r>
    </w:p>
    <w:p w:rsidR="00AC01F5" w:rsidRPr="00E146E9" w:rsidRDefault="00A47138" w:rsidP="00AC01F5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AC01F5" w:rsidRPr="00E146E9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                   № </w:t>
      </w:r>
    </w:p>
    <w:p w:rsidR="00AC01F5" w:rsidRPr="00E146E9" w:rsidRDefault="00AC01F5" w:rsidP="00AC01F5">
      <w:pPr>
        <w:tabs>
          <w:tab w:val="left" w:pos="5400"/>
        </w:tabs>
        <w:jc w:val="center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дер. Большой Двор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b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D95656" w:rsidRPr="00E146E9">
        <w:rPr>
          <w:rFonts w:ascii="Times New Roman" w:hAnsi="Times New Roman"/>
          <w:b/>
          <w:sz w:val="24"/>
          <w:szCs w:val="24"/>
        </w:rPr>
        <w:t xml:space="preserve">тории Большедворского сельского поселения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</w:t>
      </w:r>
      <w:r w:rsidR="00A47138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E146E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4473D" w:rsidRPr="00E146E9" w:rsidRDefault="00E4473D" w:rsidP="00672AC6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В соответствии со</w:t>
      </w:r>
      <w:r w:rsidRPr="00E146E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146E9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E146E9">
        <w:rPr>
          <w:rFonts w:ascii="Times New Roman" w:hAnsi="Times New Roman"/>
          <w:sz w:val="24"/>
          <w:szCs w:val="24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0 г"/>
        </w:smartTagPr>
        <w:r w:rsidRPr="00E146E9">
          <w:rPr>
            <w:rFonts w:ascii="Times New Roman" w:hAnsi="Times New Roman"/>
            <w:sz w:val="24"/>
            <w:szCs w:val="24"/>
          </w:rPr>
          <w:t>2020 г</w:t>
        </w:r>
      </w:smartTag>
      <w:r w:rsidRPr="00E146E9">
        <w:rPr>
          <w:rFonts w:ascii="Times New Roman" w:hAnsi="Times New Roman"/>
          <w:sz w:val="24"/>
          <w:szCs w:val="24"/>
        </w:rPr>
        <w:t xml:space="preserve">. № 248-ФЗ «О государственном контроле (надзоре) и муниципальном контроле в Российской Федерации», </w:t>
      </w:r>
      <w:r w:rsidRPr="00E146E9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E146E9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 w:rsidRPr="00E146E9">
          <w:rPr>
            <w:rFonts w:ascii="Times New Roman" w:hAnsi="Times New Roman"/>
            <w:sz w:val="24"/>
            <w:szCs w:val="24"/>
          </w:rPr>
          <w:t>2021 г</w:t>
        </w:r>
      </w:smartTag>
      <w:r w:rsidRPr="00E146E9">
        <w:rPr>
          <w:rFonts w:ascii="Times New Roman" w:hAnsi="Times New Roman"/>
          <w:sz w:val="24"/>
          <w:szCs w:val="24"/>
        </w:rPr>
        <w:t xml:space="preserve">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Устава </w:t>
      </w:r>
      <w:r w:rsidR="00D95656" w:rsidRPr="00E146E9">
        <w:rPr>
          <w:rFonts w:ascii="Times New Roman" w:hAnsi="Times New Roman"/>
          <w:sz w:val="24"/>
          <w:szCs w:val="24"/>
        </w:rPr>
        <w:t>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области, решения совета депутатов </w:t>
      </w:r>
      <w:r w:rsidR="0008624B" w:rsidRPr="00E146E9">
        <w:rPr>
          <w:rFonts w:ascii="Times New Roman" w:hAnsi="Times New Roman"/>
          <w:sz w:val="24"/>
          <w:szCs w:val="24"/>
        </w:rPr>
        <w:t>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</w:t>
      </w:r>
      <w:r w:rsidR="00D95656" w:rsidRPr="00E146E9">
        <w:rPr>
          <w:rFonts w:ascii="Times New Roman" w:hAnsi="Times New Roman"/>
          <w:sz w:val="24"/>
          <w:szCs w:val="24"/>
        </w:rPr>
        <w:t>кого</w:t>
      </w:r>
      <w:proofErr w:type="spellEnd"/>
      <w:r w:rsidR="00D95656" w:rsidRPr="00E146E9">
        <w:rPr>
          <w:rFonts w:ascii="Times New Roman" w:hAnsi="Times New Roman"/>
          <w:sz w:val="24"/>
          <w:szCs w:val="24"/>
        </w:rPr>
        <w:t xml:space="preserve"> муниципального района от 23</w:t>
      </w:r>
      <w:r w:rsidRPr="00E146E9">
        <w:rPr>
          <w:rFonts w:ascii="Times New Roman" w:hAnsi="Times New Roman"/>
          <w:sz w:val="24"/>
          <w:szCs w:val="24"/>
        </w:rPr>
        <w:t>.09.2021 №1</w:t>
      </w:r>
      <w:r w:rsidR="00D95656" w:rsidRPr="00E146E9">
        <w:rPr>
          <w:rFonts w:ascii="Times New Roman" w:hAnsi="Times New Roman"/>
          <w:sz w:val="24"/>
          <w:szCs w:val="24"/>
        </w:rPr>
        <w:t>42</w:t>
      </w:r>
      <w:r w:rsidRPr="00E146E9">
        <w:rPr>
          <w:rFonts w:ascii="Times New Roman" w:hAnsi="Times New Roman"/>
          <w:sz w:val="24"/>
          <w:szCs w:val="24"/>
        </w:rPr>
        <w:t xml:space="preserve"> </w:t>
      </w:r>
      <w:r w:rsidRPr="00E146E9">
        <w:rPr>
          <w:rFonts w:ascii="Times New Roman" w:hAnsi="Times New Roman"/>
          <w:b/>
          <w:sz w:val="24"/>
          <w:szCs w:val="24"/>
        </w:rPr>
        <w:t>"</w:t>
      </w:r>
      <w:r w:rsidR="00D95656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Об утверждении Положения о муниципальном контроле в сфере благоустройства на территории муниципального образования </w:t>
      </w:r>
      <w:proofErr w:type="spellStart"/>
      <w:r w:rsidR="00D95656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>Большедворское</w:t>
      </w:r>
      <w:proofErr w:type="spellEnd"/>
      <w:r w:rsidR="00D95656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 сельское поселение</w:t>
      </w:r>
      <w:r w:rsidRPr="00E146E9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Pr="00E146E9">
        <w:rPr>
          <w:rFonts w:ascii="Times New Roman" w:hAnsi="Times New Roman"/>
          <w:b/>
          <w:sz w:val="24"/>
          <w:szCs w:val="24"/>
        </w:rPr>
        <w:t xml:space="preserve"> </w:t>
      </w:r>
    </w:p>
    <w:p w:rsidR="00E4473D" w:rsidRPr="00E146E9" w:rsidRDefault="00E4473D" w:rsidP="00672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A946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ПОСТАНОВЛЯЮ:</w:t>
      </w:r>
    </w:p>
    <w:p w:rsidR="00E4473D" w:rsidRPr="00E146E9" w:rsidRDefault="00E4473D" w:rsidP="00672AC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widowControl w:val="0"/>
        <w:autoSpaceDE w:val="0"/>
        <w:autoSpaceDN w:val="0"/>
        <w:spacing w:before="60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1. Утвердить программу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D95656" w:rsidRPr="00E146E9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</w:t>
      </w:r>
      <w:r w:rsidR="00A47138">
        <w:rPr>
          <w:rFonts w:ascii="Times New Roman" w:hAnsi="Times New Roman"/>
          <w:sz w:val="24"/>
          <w:szCs w:val="24"/>
        </w:rPr>
        <w:t>3</w:t>
      </w:r>
      <w:r w:rsidRPr="00E146E9">
        <w:rPr>
          <w:rFonts w:ascii="Times New Roman" w:hAnsi="Times New Roman"/>
          <w:sz w:val="24"/>
          <w:szCs w:val="24"/>
        </w:rPr>
        <w:t xml:space="preserve"> год согласно Приложению.</w:t>
      </w:r>
    </w:p>
    <w:p w:rsidR="00C3338D" w:rsidRDefault="008F7341" w:rsidP="00C3338D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2. Должностному лицу</w:t>
      </w:r>
      <w:r w:rsidR="00E4473D" w:rsidRPr="00E146E9">
        <w:rPr>
          <w:rFonts w:ascii="Times New Roman" w:hAnsi="Times New Roman"/>
          <w:sz w:val="24"/>
          <w:szCs w:val="24"/>
        </w:rPr>
        <w:t xml:space="preserve"> администрации </w:t>
      </w:r>
      <w:r w:rsidR="00937738" w:rsidRPr="00E146E9">
        <w:rPr>
          <w:rFonts w:ascii="Times New Roman" w:hAnsi="Times New Roman"/>
          <w:sz w:val="24"/>
          <w:szCs w:val="24"/>
        </w:rPr>
        <w:t xml:space="preserve">Большедворского сельского поселения </w:t>
      </w:r>
      <w:proofErr w:type="spellStart"/>
      <w:r w:rsidR="00E4473D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4473D" w:rsidRPr="00E146E9">
        <w:rPr>
          <w:rFonts w:ascii="Times New Roman" w:hAnsi="Times New Roman"/>
          <w:sz w:val="24"/>
          <w:szCs w:val="24"/>
        </w:rPr>
        <w:t xml:space="preserve"> муни</w:t>
      </w:r>
      <w:r w:rsidRPr="00E146E9">
        <w:rPr>
          <w:rFonts w:ascii="Times New Roman" w:hAnsi="Times New Roman"/>
          <w:sz w:val="24"/>
          <w:szCs w:val="24"/>
        </w:rPr>
        <w:t>ципального района, ответственному</w:t>
      </w:r>
      <w:r w:rsidR="00E4473D" w:rsidRPr="00E146E9">
        <w:rPr>
          <w:rFonts w:ascii="Times New Roman" w:hAnsi="Times New Roman"/>
          <w:sz w:val="24"/>
          <w:szCs w:val="24"/>
        </w:rPr>
        <w:t xml:space="preserve"> за проведение контрольных мероприятий по муниципальному контролю в сфере благоустройства на территории </w:t>
      </w:r>
      <w:r w:rsidR="00C7225D" w:rsidRPr="00E146E9">
        <w:rPr>
          <w:rFonts w:ascii="Times New Roman" w:hAnsi="Times New Roman"/>
          <w:sz w:val="24"/>
          <w:szCs w:val="24"/>
        </w:rPr>
        <w:t xml:space="preserve">Большедворского сельского </w:t>
      </w:r>
      <w:r w:rsidR="00E4473D" w:rsidRPr="00E146E9">
        <w:rPr>
          <w:rFonts w:ascii="Times New Roman" w:hAnsi="Times New Roman"/>
          <w:sz w:val="24"/>
          <w:szCs w:val="24"/>
        </w:rPr>
        <w:t xml:space="preserve">поселения </w:t>
      </w:r>
      <w:proofErr w:type="spellStart"/>
      <w:r w:rsidR="00E4473D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4473D"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обеспечить исполнение Программы профилактики.</w:t>
      </w:r>
    </w:p>
    <w:p w:rsidR="00C3338D" w:rsidRDefault="00C3338D" w:rsidP="00C3338D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Считать утратившим силу постановление администрации № 168 от 02.12.2021 «</w:t>
      </w:r>
      <w:r w:rsidRPr="00C3338D">
        <w:rPr>
          <w:rFonts w:ascii="Times New Roman" w:hAnsi="Times New Roman"/>
          <w:sz w:val="24"/>
          <w:szCs w:val="24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в сфере благоустройства на территории Большедворского сельского поселения </w:t>
      </w:r>
      <w:proofErr w:type="spellStart"/>
      <w:r w:rsidRPr="00C3338D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C3338D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2022 год</w:t>
      </w:r>
      <w:r>
        <w:rPr>
          <w:rFonts w:ascii="Times New Roman" w:hAnsi="Times New Roman"/>
          <w:sz w:val="24"/>
          <w:szCs w:val="24"/>
        </w:rPr>
        <w:t>».</w:t>
      </w:r>
    </w:p>
    <w:p w:rsidR="00E4473D" w:rsidRPr="00E146E9" w:rsidRDefault="00C3338D" w:rsidP="00C3338D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4473D" w:rsidRPr="00E146E9">
        <w:rPr>
          <w:rFonts w:ascii="Times New Roman" w:hAnsi="Times New Roman"/>
          <w:sz w:val="24"/>
          <w:szCs w:val="24"/>
        </w:rPr>
        <w:t xml:space="preserve">. Контроль исполнения настоящего постановления </w:t>
      </w:r>
      <w:r w:rsidR="00C7225D" w:rsidRPr="00E146E9">
        <w:rPr>
          <w:rFonts w:ascii="Times New Roman" w:hAnsi="Times New Roman"/>
          <w:sz w:val="24"/>
          <w:szCs w:val="24"/>
        </w:rPr>
        <w:t>оставляю за собой.</w:t>
      </w:r>
    </w:p>
    <w:p w:rsidR="00E4473D" w:rsidRPr="00E146E9" w:rsidRDefault="00C3338D" w:rsidP="00672AC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4473D" w:rsidRPr="00E146E9">
        <w:rPr>
          <w:rFonts w:ascii="Times New Roman" w:hAnsi="Times New Roman"/>
          <w:sz w:val="24"/>
          <w:szCs w:val="24"/>
        </w:rPr>
        <w:t>. Настоящее постановление вступает в силу с 1 января 202</w:t>
      </w:r>
      <w:r w:rsidR="00A47138">
        <w:rPr>
          <w:rFonts w:ascii="Times New Roman" w:hAnsi="Times New Roman"/>
          <w:sz w:val="24"/>
          <w:szCs w:val="24"/>
        </w:rPr>
        <w:t>3</w:t>
      </w:r>
      <w:r w:rsidR="00E4473D" w:rsidRPr="00E146E9">
        <w:rPr>
          <w:rFonts w:ascii="Times New Roman" w:hAnsi="Times New Roman"/>
          <w:sz w:val="24"/>
          <w:szCs w:val="24"/>
        </w:rPr>
        <w:t xml:space="preserve"> года.</w:t>
      </w:r>
    </w:p>
    <w:p w:rsidR="00E4473D" w:rsidRPr="00E146E9" w:rsidRDefault="00C3338D" w:rsidP="00672AC6">
      <w:pPr>
        <w:autoSpaceDE w:val="0"/>
        <w:autoSpaceDN w:val="0"/>
        <w:adjustRightInd w:val="0"/>
        <w:spacing w:before="60"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4473D" w:rsidRPr="00E146E9">
        <w:rPr>
          <w:rFonts w:ascii="Times New Roman" w:hAnsi="Times New Roman"/>
          <w:sz w:val="24"/>
          <w:szCs w:val="24"/>
        </w:rPr>
        <w:t xml:space="preserve">. Постановление опубликовать (обнародовать) в газете "Новый путь" и на официальном сайте </w:t>
      </w:r>
      <w:r w:rsidR="00C7225D" w:rsidRPr="00E146E9">
        <w:rPr>
          <w:rFonts w:ascii="Times New Roman" w:hAnsi="Times New Roman"/>
          <w:sz w:val="24"/>
          <w:szCs w:val="24"/>
        </w:rPr>
        <w:t xml:space="preserve">Большедворского сельского поселения </w:t>
      </w:r>
      <w:proofErr w:type="spellStart"/>
      <w:r w:rsidR="00E4473D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E4473D" w:rsidRPr="00E146E9">
        <w:rPr>
          <w:rFonts w:ascii="Times New Roman" w:hAnsi="Times New Roman"/>
          <w:sz w:val="24"/>
          <w:szCs w:val="24"/>
        </w:rPr>
        <w:t xml:space="preserve"> муниц</w:t>
      </w:r>
      <w:r w:rsidR="004F5BD0" w:rsidRPr="00E146E9">
        <w:rPr>
          <w:rFonts w:ascii="Times New Roman" w:hAnsi="Times New Roman"/>
          <w:sz w:val="24"/>
          <w:szCs w:val="24"/>
        </w:rPr>
        <w:t>ипального района</w:t>
      </w:r>
      <w:r w:rsidR="00E4473D" w:rsidRPr="00E146E9">
        <w:rPr>
          <w:rFonts w:ascii="Times New Roman" w:hAnsi="Times New Roman"/>
          <w:sz w:val="24"/>
          <w:szCs w:val="24"/>
        </w:rPr>
        <w:t>.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Глава администрации                                                                                 </w:t>
      </w:r>
      <w:proofErr w:type="spellStart"/>
      <w:r w:rsidR="00C7225D" w:rsidRPr="00E146E9">
        <w:rPr>
          <w:rFonts w:ascii="Times New Roman" w:hAnsi="Times New Roman"/>
          <w:sz w:val="24"/>
          <w:szCs w:val="24"/>
        </w:rPr>
        <w:t>А.В.Аверин</w:t>
      </w:r>
      <w:proofErr w:type="spellEnd"/>
    </w:p>
    <w:p w:rsidR="00E4473D" w:rsidRPr="00E146E9" w:rsidRDefault="00E4473D" w:rsidP="00672AC6">
      <w:pPr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4473D" w:rsidRPr="00A47138" w:rsidRDefault="00C7225D" w:rsidP="00A47138">
      <w:pPr>
        <w:rPr>
          <w:rStyle w:val="bumpedfont15"/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Разослано: </w:t>
      </w:r>
      <w:r w:rsidR="00E4473D" w:rsidRPr="00E146E9">
        <w:rPr>
          <w:rFonts w:ascii="Times New Roman" w:hAnsi="Times New Roman"/>
          <w:sz w:val="24"/>
          <w:szCs w:val="24"/>
        </w:rPr>
        <w:t xml:space="preserve"> редакции газеты, регистр МНПА, в дело</w:t>
      </w:r>
    </w:p>
    <w:p w:rsidR="00BC7F4E" w:rsidRDefault="00BC7F4E" w:rsidP="00D95656">
      <w:pPr>
        <w:pStyle w:val="s18"/>
        <w:spacing w:before="0" w:beforeAutospacing="0" w:after="0" w:afterAutospacing="0"/>
        <w:rPr>
          <w:rStyle w:val="bumpedfont15"/>
        </w:rPr>
      </w:pPr>
    </w:p>
    <w:p w:rsidR="00A47138" w:rsidRPr="00E146E9" w:rsidRDefault="00A47138" w:rsidP="00D95656">
      <w:pPr>
        <w:pStyle w:val="s18"/>
        <w:spacing w:before="0" w:beforeAutospacing="0" w:after="0" w:afterAutospacing="0"/>
        <w:rPr>
          <w:rStyle w:val="bumpedfont15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4473D" w:rsidRPr="00E146E9" w:rsidTr="00C841CB">
        <w:tc>
          <w:tcPr>
            <w:tcW w:w="4785" w:type="dxa"/>
          </w:tcPr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7225D" w:rsidRPr="00E146E9" w:rsidRDefault="00C7225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C7225D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E4473D" w:rsidRPr="00E146E9" w:rsidRDefault="00A47138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____________2022 </w:t>
            </w:r>
            <w:r w:rsidR="00E4473D" w:rsidRPr="00E146E9">
              <w:rPr>
                <w:rFonts w:ascii="Times New Roman" w:hAnsi="Times New Roman"/>
                <w:sz w:val="24"/>
                <w:szCs w:val="24"/>
              </w:rPr>
              <w:t xml:space="preserve"> №_____</w:t>
            </w:r>
          </w:p>
        </w:tc>
      </w:tr>
    </w:tbl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Par44"/>
      <w:bookmarkEnd w:id="1"/>
      <w:r w:rsidRPr="00E146E9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r w:rsidR="00C7225D" w:rsidRPr="00E146E9">
        <w:rPr>
          <w:rFonts w:ascii="Times New Roman" w:hAnsi="Times New Roman"/>
          <w:b/>
          <w:sz w:val="24"/>
          <w:szCs w:val="24"/>
        </w:rPr>
        <w:t xml:space="preserve">Большедворского сельского </w:t>
      </w:r>
      <w:r w:rsidRPr="00E146E9">
        <w:rPr>
          <w:rFonts w:ascii="Times New Roman" w:hAnsi="Times New Roman"/>
          <w:b/>
          <w:sz w:val="24"/>
          <w:szCs w:val="24"/>
        </w:rPr>
        <w:t xml:space="preserve">поселения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</w:t>
      </w:r>
      <w:r w:rsidR="00A47138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E146E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" w:name="Par94"/>
      <w:bookmarkEnd w:id="2"/>
      <w:r w:rsidRPr="00E146E9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r w:rsidR="00BC7F4E" w:rsidRPr="00E146E9">
        <w:rPr>
          <w:rFonts w:ascii="Times New Roman" w:hAnsi="Times New Roman"/>
          <w:b/>
          <w:sz w:val="24"/>
          <w:szCs w:val="24"/>
        </w:rPr>
        <w:t xml:space="preserve">Большедворского сельского поселения </w:t>
      </w:r>
      <w:proofErr w:type="spellStart"/>
      <w:r w:rsidR="00BC7F4E"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="00BC7F4E"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0862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146E9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08624B" w:rsidRPr="00E146E9">
        <w:rPr>
          <w:rFonts w:ascii="Times New Roman" w:hAnsi="Times New Roman"/>
          <w:sz w:val="24"/>
          <w:szCs w:val="24"/>
        </w:rPr>
        <w:t>тории Большедворского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</w:t>
      </w:r>
      <w:r w:rsidR="00A47138">
        <w:rPr>
          <w:rFonts w:ascii="Times New Roman" w:hAnsi="Times New Roman"/>
          <w:sz w:val="24"/>
          <w:szCs w:val="24"/>
        </w:rPr>
        <w:t>3</w:t>
      </w:r>
      <w:r w:rsidRPr="00E146E9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E146E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146E9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E146E9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E146E9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E146E9">
        <w:rPr>
          <w:rFonts w:ascii="Times New Roman" w:hAnsi="Times New Roman"/>
          <w:sz w:val="24"/>
          <w:szCs w:val="24"/>
        </w:rPr>
        <w:t xml:space="preserve"> Правительства Российской Федерации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146E9">
        <w:rPr>
          <w:rFonts w:ascii="Times New Roman" w:hAnsi="Times New Roman"/>
          <w:sz w:val="24"/>
          <w:szCs w:val="24"/>
        </w:rPr>
        <w:t xml:space="preserve">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08624B" w:rsidRPr="00E146E9">
        <w:rPr>
          <w:rFonts w:ascii="Times New Roman" w:hAnsi="Times New Roman"/>
          <w:sz w:val="24"/>
          <w:szCs w:val="24"/>
        </w:rPr>
        <w:t xml:space="preserve">решения совета депутатов </w:t>
      </w:r>
      <w:r w:rsidR="008F7341" w:rsidRPr="00E146E9">
        <w:rPr>
          <w:rFonts w:ascii="Times New Roman" w:hAnsi="Times New Roman"/>
          <w:sz w:val="24"/>
          <w:szCs w:val="24"/>
        </w:rPr>
        <w:t>Большедворского сельского</w:t>
      </w:r>
      <w:r w:rsidR="0008624B"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="0008624B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08624B" w:rsidRPr="00E146E9">
        <w:rPr>
          <w:rFonts w:ascii="Times New Roman" w:hAnsi="Times New Roman"/>
          <w:sz w:val="24"/>
          <w:szCs w:val="24"/>
        </w:rPr>
        <w:t xml:space="preserve"> муниципального района от 23.09.2021 №142 </w:t>
      </w:r>
      <w:r w:rsidR="0008624B" w:rsidRPr="00E146E9">
        <w:rPr>
          <w:rFonts w:ascii="Times New Roman" w:hAnsi="Times New Roman"/>
          <w:b/>
          <w:sz w:val="24"/>
          <w:szCs w:val="24"/>
        </w:rPr>
        <w:t>"</w:t>
      </w:r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Об утверждении Положения о муниципальном контроле в сфере благоустройства на территории муниципального образования </w:t>
      </w:r>
      <w:proofErr w:type="spellStart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>Большедворское</w:t>
      </w:r>
      <w:proofErr w:type="spellEnd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 сельское поселение</w:t>
      </w:r>
      <w:r w:rsidR="0008624B" w:rsidRPr="00E146E9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="0008624B" w:rsidRPr="00E146E9">
        <w:rPr>
          <w:rFonts w:ascii="Times New Roman" w:hAnsi="Times New Roman"/>
          <w:b/>
          <w:sz w:val="24"/>
          <w:szCs w:val="24"/>
        </w:rPr>
        <w:t xml:space="preserve"> </w:t>
      </w:r>
      <w:r w:rsidRPr="00E146E9">
        <w:rPr>
          <w:rFonts w:ascii="Times New Roman" w:hAnsi="Times New Roman"/>
          <w:sz w:val="24"/>
          <w:szCs w:val="24"/>
        </w:rPr>
        <w:t>и предусматривает комплекс мероприятий по профилактике рисков причинения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 при осуществлении муниципального контроля в сфере благоустройства </w:t>
      </w:r>
      <w:r w:rsidR="008F7341" w:rsidRPr="00E146E9">
        <w:rPr>
          <w:rFonts w:ascii="Times New Roman" w:hAnsi="Times New Roman"/>
          <w:sz w:val="24"/>
          <w:szCs w:val="24"/>
        </w:rPr>
        <w:t xml:space="preserve">на территории Большедворского сельского поселения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E146E9">
        <w:rPr>
          <w:rFonts w:ascii="Times New Roman" w:hAnsi="Times New Roman"/>
          <w:sz w:val="24"/>
          <w:szCs w:val="24"/>
        </w:rPr>
        <w:t xml:space="preserve"> Ленинградской области (далее - муниципальный контроль).</w:t>
      </w:r>
    </w:p>
    <w:p w:rsidR="00E4473D" w:rsidRPr="00E146E9" w:rsidRDefault="00E4473D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3" w:name="Par175"/>
      <w:bookmarkEnd w:id="3"/>
      <w:r w:rsidRPr="00E146E9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E4473D" w:rsidRPr="00E146E9" w:rsidRDefault="00E4473D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4473D" w:rsidRPr="00E146E9" w:rsidRDefault="00E4473D" w:rsidP="00712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E146E9">
        <w:rPr>
          <w:rFonts w:ascii="Times New Roman" w:hAnsi="Times New Roman"/>
          <w:bCs/>
          <w:sz w:val="24"/>
          <w:szCs w:val="24"/>
        </w:rPr>
        <w:t xml:space="preserve">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1) укрепление </w:t>
      </w:r>
      <w:proofErr w:type="gramStart"/>
      <w:r w:rsidRPr="00E146E9">
        <w:rPr>
          <w:rFonts w:ascii="Times New Roman" w:hAnsi="Times New Roman"/>
          <w:sz w:val="24"/>
          <w:szCs w:val="24"/>
        </w:rPr>
        <w:t>системы профилактики нарушений рисков причинения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вреда (ущерба) охраняемым законом ценностям;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lastRenderedPageBreak/>
        <w:t>2)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E4473D" w:rsidRPr="00E146E9" w:rsidRDefault="00E4473D" w:rsidP="00905A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3)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E4473D" w:rsidRPr="00E146E9" w:rsidRDefault="00E4473D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65"/>
        <w:gridCol w:w="1418"/>
        <w:gridCol w:w="2268"/>
      </w:tblGrid>
      <w:tr w:rsidR="00E4473D" w:rsidRPr="00E146E9" w:rsidTr="00A70F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08624B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E4473D" w:rsidRPr="00E146E9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E4473D" w:rsidRPr="00E146E9" w:rsidTr="00A70FC9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08624B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  <w:r w:rsidR="008F7341"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E4473D" w:rsidRPr="00E146E9" w:rsidTr="00A70FC9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сведений, касающихся осуществления муниципального контроля на официальном сайте </w:t>
            </w:r>
            <w:r w:rsidR="008F7341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в сети «Интернет» и средствах массовой информации: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6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E4473D" w:rsidRPr="00E146E9" w:rsidRDefault="00E4473D" w:rsidP="00A9466F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146E9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7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  <w:proofErr w:type="gramEnd"/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D8287C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C6B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A70FC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E4473D" w:rsidRPr="00E146E9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E146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146E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086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08624B" w:rsidRPr="00E146E9">
              <w:rPr>
                <w:rFonts w:ascii="Times New Roman" w:hAnsi="Times New Roman"/>
                <w:sz w:val="24"/>
                <w:szCs w:val="24"/>
              </w:rPr>
              <w:t xml:space="preserve">Большедворского сельского поселения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в сети «Интернет»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E4473D" w:rsidRPr="00E146E9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A4713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2022</w:t>
            </w:r>
            <w:r w:rsidR="00E4473D" w:rsidRPr="00E146E9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Ввиду того, что Программа профилактики </w:t>
      </w:r>
      <w:proofErr w:type="gramStart"/>
      <w:r w:rsidRPr="00E146E9">
        <w:rPr>
          <w:rFonts w:ascii="Times New Roman" w:hAnsi="Times New Roman"/>
          <w:sz w:val="24"/>
          <w:szCs w:val="24"/>
        </w:rPr>
        <w:t>утверждается впервые данный раздел не может</w:t>
      </w:r>
      <w:proofErr w:type="gramEnd"/>
      <w:r w:rsidRPr="00E146E9">
        <w:rPr>
          <w:rFonts w:ascii="Times New Roman" w:hAnsi="Times New Roman"/>
          <w:sz w:val="24"/>
          <w:szCs w:val="24"/>
        </w:rPr>
        <w:t xml:space="preserve"> быть заполнен полностью. </w:t>
      </w: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sectPr w:rsidR="00E4473D" w:rsidRPr="00E146E9" w:rsidSect="008F734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5F40AD62"/>
    <w:lvl w:ilvl="0" w:tplc="06265760">
      <w:start w:val="1"/>
      <w:numFmt w:val="decimal"/>
      <w:suff w:val="space"/>
      <w:lvlText w:val="%1)"/>
      <w:lvlJc w:val="left"/>
      <w:pPr>
        <w:ind w:left="177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C29EC444"/>
    <w:lvl w:ilvl="0" w:tplc="DBBC4A5E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A67"/>
    <w:rsid w:val="0000103F"/>
    <w:rsid w:val="0000654A"/>
    <w:rsid w:val="0002355B"/>
    <w:rsid w:val="00045BAB"/>
    <w:rsid w:val="00050C22"/>
    <w:rsid w:val="00066C77"/>
    <w:rsid w:val="0008624B"/>
    <w:rsid w:val="000A1210"/>
    <w:rsid w:val="000C6765"/>
    <w:rsid w:val="000D3750"/>
    <w:rsid w:val="000D578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A44DD"/>
    <w:rsid w:val="002A4A91"/>
    <w:rsid w:val="002D745D"/>
    <w:rsid w:val="002F2F5E"/>
    <w:rsid w:val="003300AA"/>
    <w:rsid w:val="00335261"/>
    <w:rsid w:val="003719CF"/>
    <w:rsid w:val="00396668"/>
    <w:rsid w:val="003B33D2"/>
    <w:rsid w:val="003B5AAD"/>
    <w:rsid w:val="003E13BE"/>
    <w:rsid w:val="004050B5"/>
    <w:rsid w:val="00443C3C"/>
    <w:rsid w:val="00447B46"/>
    <w:rsid w:val="00467662"/>
    <w:rsid w:val="004915A1"/>
    <w:rsid w:val="004A3B63"/>
    <w:rsid w:val="004F5BD0"/>
    <w:rsid w:val="00531D29"/>
    <w:rsid w:val="00561434"/>
    <w:rsid w:val="005B726E"/>
    <w:rsid w:val="005E28DE"/>
    <w:rsid w:val="005E3A41"/>
    <w:rsid w:val="005E6E36"/>
    <w:rsid w:val="006149AF"/>
    <w:rsid w:val="00672AC6"/>
    <w:rsid w:val="00691C4B"/>
    <w:rsid w:val="006954A2"/>
    <w:rsid w:val="006A1744"/>
    <w:rsid w:val="006C31B8"/>
    <w:rsid w:val="006E60B5"/>
    <w:rsid w:val="006F3981"/>
    <w:rsid w:val="0071286B"/>
    <w:rsid w:val="007149C3"/>
    <w:rsid w:val="00720002"/>
    <w:rsid w:val="00720616"/>
    <w:rsid w:val="00721E15"/>
    <w:rsid w:val="00744DAA"/>
    <w:rsid w:val="007818CA"/>
    <w:rsid w:val="007B175A"/>
    <w:rsid w:val="007B6444"/>
    <w:rsid w:val="00802A67"/>
    <w:rsid w:val="008154C2"/>
    <w:rsid w:val="00840066"/>
    <w:rsid w:val="00845300"/>
    <w:rsid w:val="008503CC"/>
    <w:rsid w:val="0086333C"/>
    <w:rsid w:val="00877D96"/>
    <w:rsid w:val="00883322"/>
    <w:rsid w:val="00890EF5"/>
    <w:rsid w:val="008B4AEC"/>
    <w:rsid w:val="008F7341"/>
    <w:rsid w:val="00905A75"/>
    <w:rsid w:val="009231DA"/>
    <w:rsid w:val="009265B1"/>
    <w:rsid w:val="00937738"/>
    <w:rsid w:val="00956820"/>
    <w:rsid w:val="0095771B"/>
    <w:rsid w:val="00960991"/>
    <w:rsid w:val="0098428E"/>
    <w:rsid w:val="00987367"/>
    <w:rsid w:val="009B709B"/>
    <w:rsid w:val="009D454E"/>
    <w:rsid w:val="009D631A"/>
    <w:rsid w:val="009E0193"/>
    <w:rsid w:val="00A02951"/>
    <w:rsid w:val="00A30413"/>
    <w:rsid w:val="00A4630A"/>
    <w:rsid w:val="00A47138"/>
    <w:rsid w:val="00A56B9D"/>
    <w:rsid w:val="00A620AD"/>
    <w:rsid w:val="00A70FC9"/>
    <w:rsid w:val="00A8387D"/>
    <w:rsid w:val="00A9466F"/>
    <w:rsid w:val="00AA699E"/>
    <w:rsid w:val="00AB3CED"/>
    <w:rsid w:val="00AC01F5"/>
    <w:rsid w:val="00AE7F20"/>
    <w:rsid w:val="00B478ED"/>
    <w:rsid w:val="00B706C7"/>
    <w:rsid w:val="00BC12E5"/>
    <w:rsid w:val="00BC7F4E"/>
    <w:rsid w:val="00C3338D"/>
    <w:rsid w:val="00C53FD5"/>
    <w:rsid w:val="00C61237"/>
    <w:rsid w:val="00C7225D"/>
    <w:rsid w:val="00C817C0"/>
    <w:rsid w:val="00C841CB"/>
    <w:rsid w:val="00C902B6"/>
    <w:rsid w:val="00CC4754"/>
    <w:rsid w:val="00CC6BB0"/>
    <w:rsid w:val="00CC7251"/>
    <w:rsid w:val="00CE1854"/>
    <w:rsid w:val="00CE295A"/>
    <w:rsid w:val="00CE578F"/>
    <w:rsid w:val="00D20C33"/>
    <w:rsid w:val="00D2386D"/>
    <w:rsid w:val="00D30E58"/>
    <w:rsid w:val="00D437D5"/>
    <w:rsid w:val="00D449C2"/>
    <w:rsid w:val="00D65D5B"/>
    <w:rsid w:val="00D66004"/>
    <w:rsid w:val="00D8287C"/>
    <w:rsid w:val="00D903D0"/>
    <w:rsid w:val="00D95656"/>
    <w:rsid w:val="00DC502F"/>
    <w:rsid w:val="00DF03FF"/>
    <w:rsid w:val="00E04F33"/>
    <w:rsid w:val="00E146E9"/>
    <w:rsid w:val="00E24FC1"/>
    <w:rsid w:val="00E4473D"/>
    <w:rsid w:val="00E477DF"/>
    <w:rsid w:val="00E54854"/>
    <w:rsid w:val="00E65317"/>
    <w:rsid w:val="00E719EE"/>
    <w:rsid w:val="00EC0A94"/>
    <w:rsid w:val="00EC4064"/>
    <w:rsid w:val="00EE6EC7"/>
    <w:rsid w:val="00F14D27"/>
    <w:rsid w:val="00F63058"/>
    <w:rsid w:val="00F87198"/>
    <w:rsid w:val="00FA5976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95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3C3C"/>
    <w:pPr>
      <w:ind w:left="720"/>
      <w:contextualSpacing/>
    </w:pPr>
  </w:style>
  <w:style w:type="paragraph" w:customStyle="1" w:styleId="s18">
    <w:name w:val="s18"/>
    <w:basedOn w:val="a"/>
    <w:uiPriority w:val="99"/>
    <w:rsid w:val="00672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umpedfont15">
    <w:name w:val="bumpedfont15"/>
    <w:uiPriority w:val="99"/>
    <w:rsid w:val="00672AC6"/>
  </w:style>
  <w:style w:type="table" w:styleId="a4">
    <w:name w:val="Table Grid"/>
    <w:basedOn w:val="a1"/>
    <w:uiPriority w:val="99"/>
    <w:locked/>
    <w:rsid w:val="00672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2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2355B"/>
    <w:rPr>
      <w:rFonts w:ascii="Tahoma" w:hAnsi="Tahoma"/>
      <w:sz w:val="16"/>
    </w:rPr>
  </w:style>
  <w:style w:type="character" w:styleId="a7">
    <w:name w:val="Strong"/>
    <w:uiPriority w:val="22"/>
    <w:qFormat/>
    <w:locked/>
    <w:rsid w:val="00D956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9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User</cp:lastModifiedBy>
  <cp:revision>21</cp:revision>
  <cp:lastPrinted>2021-09-30T11:18:00Z</cp:lastPrinted>
  <dcterms:created xsi:type="dcterms:W3CDTF">2021-09-30T11:17:00Z</dcterms:created>
  <dcterms:modified xsi:type="dcterms:W3CDTF">2022-09-12T06:25:00Z</dcterms:modified>
</cp:coreProperties>
</file>